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74211">
      <w:pPr>
        <w:pStyle w:val="6"/>
        <w:numPr>
          <w:ilvl w:val="0"/>
          <w:numId w:val="0"/>
        </w:numPr>
        <w:spacing w:before="312" w:after="156"/>
        <w:jc w:val="both"/>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附件3：</w:t>
      </w:r>
    </w:p>
    <w:p w14:paraId="3AF865B9">
      <w:pPr>
        <w:pStyle w:val="6"/>
        <w:numPr>
          <w:ilvl w:val="0"/>
          <w:numId w:val="0"/>
        </w:numPr>
        <w:spacing w:before="312" w:after="156"/>
        <w:jc w:val="center"/>
        <w:rPr>
          <w:rFonts w:ascii="宋体" w:cs="宋体"/>
        </w:rPr>
      </w:pPr>
      <w:r>
        <w:rPr>
          <w:rFonts w:hint="eastAsia" w:ascii="宋体" w:hAnsi="宋体" w:cs="宋体"/>
          <w:sz w:val="32"/>
          <w:szCs w:val="32"/>
          <w:lang w:eastAsia="zh-CN"/>
        </w:rPr>
        <w:t>福州市中医院污水运维</w:t>
      </w:r>
      <w:r>
        <w:rPr>
          <w:rFonts w:hint="eastAsia" w:ascii="宋体" w:hAnsi="宋体" w:cs="宋体"/>
          <w:sz w:val="32"/>
          <w:szCs w:val="32"/>
        </w:rPr>
        <w:t>服务内容及要求</w:t>
      </w:r>
    </w:p>
    <w:p w14:paraId="16A6196D">
      <w:pPr>
        <w:spacing w:line="360" w:lineRule="auto"/>
        <w:outlineLvl w:val="1"/>
        <w:rPr>
          <w:rFonts w:ascii="宋体"/>
          <w:b/>
          <w:bCs/>
          <w:sz w:val="28"/>
          <w:szCs w:val="28"/>
        </w:rPr>
      </w:pPr>
      <w:bookmarkStart w:id="0" w:name="_Toc24105"/>
      <w:bookmarkStart w:id="1" w:name="_Toc457922953"/>
      <w:bookmarkStart w:id="2" w:name="_Toc13649"/>
      <w:bookmarkStart w:id="3" w:name="_Toc32215"/>
      <w:bookmarkStart w:id="4" w:name="_Toc28284"/>
      <w:bookmarkStart w:id="5" w:name="_Toc306269162"/>
      <w:bookmarkStart w:id="6" w:name="_Toc16124"/>
      <w:r>
        <w:rPr>
          <w:rFonts w:hint="eastAsia" w:ascii="宋体" w:hAnsi="宋体"/>
          <w:b/>
          <w:bCs/>
          <w:sz w:val="28"/>
          <w:szCs w:val="28"/>
        </w:rPr>
        <w:t>一、项目概述和总体要求</w:t>
      </w:r>
      <w:bookmarkEnd w:id="0"/>
      <w:bookmarkEnd w:id="1"/>
      <w:bookmarkEnd w:id="2"/>
      <w:bookmarkEnd w:id="3"/>
      <w:bookmarkEnd w:id="4"/>
    </w:p>
    <w:p w14:paraId="6AA8778E">
      <w:pPr>
        <w:pStyle w:val="7"/>
        <w:spacing w:after="150" w:line="360" w:lineRule="auto"/>
        <w:ind w:firstLine="480" w:firstLineChars="200"/>
        <w:rPr>
          <w:rFonts w:hint="eastAsia"/>
        </w:rPr>
      </w:pPr>
      <w:bookmarkStart w:id="7" w:name="_Toc23773"/>
      <w:bookmarkStart w:id="8" w:name="_Toc595"/>
      <w:bookmarkStart w:id="9" w:name="_Toc19452"/>
      <w:bookmarkStart w:id="10" w:name="_Toc15864"/>
      <w:bookmarkStart w:id="11" w:name="_Toc21553"/>
      <w:bookmarkStart w:id="12" w:name="_Toc457922954"/>
      <w:r>
        <w:rPr>
          <w:rFonts w:hint="eastAsia"/>
        </w:rPr>
        <w:t>1、</w:t>
      </w:r>
      <w:bookmarkEnd w:id="7"/>
      <w:bookmarkEnd w:id="8"/>
      <w:bookmarkEnd w:id="9"/>
      <w:bookmarkStart w:id="13" w:name="_Toc453485824"/>
      <w:bookmarkStart w:id="14" w:name="_Toc413253397"/>
      <w:bookmarkStart w:id="15" w:name="_Toc21926"/>
      <w:bookmarkStart w:id="16" w:name="_Toc455382950"/>
      <w:bookmarkStart w:id="17" w:name="_Toc27200"/>
      <w:r>
        <w:rPr>
          <w:rFonts w:hint="eastAsia"/>
        </w:rPr>
        <w:t>服务范围：提供</w:t>
      </w:r>
      <w:r>
        <w:rPr>
          <w:rFonts w:hint="eastAsia"/>
          <w:lang w:eastAsia="zh-CN"/>
        </w:rPr>
        <w:t>福州市中医院鼓楼院区</w:t>
      </w:r>
      <w:r>
        <w:rPr>
          <w:rFonts w:hint="eastAsia"/>
          <w:lang w:val="en-US" w:eastAsia="zh-CN"/>
        </w:rPr>
        <w:t>、福州市中医院贤南分部、福州市中医院五四北院区三处</w:t>
      </w:r>
      <w:r>
        <w:rPr>
          <w:rFonts w:hint="eastAsia"/>
        </w:rPr>
        <w:t>污水处理站</w:t>
      </w:r>
      <w:r>
        <w:rPr>
          <w:rFonts w:hint="eastAsia"/>
          <w:lang w:val="en-US" w:eastAsia="zh-CN"/>
        </w:rPr>
        <w:t>运维服务，</w:t>
      </w:r>
      <w:r>
        <w:rPr>
          <w:rFonts w:hint="eastAsia"/>
          <w:lang w:eastAsia="zh-CN"/>
        </w:rPr>
        <w:t>及在线设备</w:t>
      </w:r>
      <w:r>
        <w:rPr>
          <w:rFonts w:hint="eastAsia"/>
        </w:rPr>
        <w:t>运维服务。</w:t>
      </w:r>
    </w:p>
    <w:p w14:paraId="31BAA3ED">
      <w:pPr>
        <w:pStyle w:val="7"/>
        <w:spacing w:after="150" w:line="360" w:lineRule="auto"/>
        <w:ind w:firstLine="480" w:firstLineChars="200"/>
        <w:rPr>
          <w:rFonts w:hint="eastAsia"/>
        </w:rPr>
      </w:pPr>
      <w:r>
        <w:rPr>
          <w:rFonts w:hint="eastAsia"/>
        </w:rPr>
        <w:t>2、服务期：合同签订之日起</w:t>
      </w:r>
      <w:r>
        <w:rPr>
          <w:rFonts w:hint="eastAsia"/>
          <w:lang w:val="en-US" w:eastAsia="zh-CN"/>
        </w:rPr>
        <w:t>2</w:t>
      </w:r>
      <w:r>
        <w:rPr>
          <w:rFonts w:hint="eastAsia"/>
        </w:rPr>
        <w:t>年。</w:t>
      </w:r>
    </w:p>
    <w:p w14:paraId="143FD851">
      <w:pPr>
        <w:pStyle w:val="7"/>
        <w:spacing w:after="150" w:line="360" w:lineRule="auto"/>
        <w:ind w:firstLine="480" w:firstLineChars="200"/>
        <w:rPr>
          <w:rFonts w:hint="default" w:eastAsia="宋体"/>
          <w:lang w:val="en-US" w:eastAsia="zh-CN"/>
        </w:rPr>
      </w:pPr>
      <w:r>
        <w:rPr>
          <w:rFonts w:hint="eastAsia"/>
          <w:lang w:val="en-US" w:eastAsia="zh-CN"/>
        </w:rPr>
        <w:t>3、处理规模：福州市中医院鼓楼院区（包含污水处理站设备及发热门诊污水处理机）处理规模300m³/d，福州市中医院贤南分部300L/d，福州市中医院五四北院区800m³/d。</w:t>
      </w:r>
      <w:bookmarkStart w:id="19" w:name="_GoBack"/>
      <w:bookmarkEnd w:id="19"/>
    </w:p>
    <w:p w14:paraId="4FBBB087">
      <w:pPr>
        <w:spacing w:line="360" w:lineRule="auto"/>
        <w:outlineLvl w:val="1"/>
        <w:rPr>
          <w:rFonts w:hint="eastAsia" w:ascii="宋体" w:hAnsi="宋体"/>
          <w:b/>
          <w:bCs/>
          <w:sz w:val="28"/>
          <w:szCs w:val="28"/>
          <w:lang w:val="en-US" w:eastAsia="zh-CN"/>
        </w:rPr>
      </w:pPr>
      <w:r>
        <w:rPr>
          <w:rFonts w:hint="eastAsia" w:ascii="宋体" w:hAnsi="宋体"/>
          <w:b/>
          <w:bCs/>
          <w:sz w:val="28"/>
          <w:szCs w:val="28"/>
        </w:rPr>
        <w:t>二、</w:t>
      </w:r>
      <w:bookmarkEnd w:id="13"/>
      <w:bookmarkEnd w:id="14"/>
      <w:bookmarkEnd w:id="15"/>
      <w:bookmarkEnd w:id="16"/>
      <w:bookmarkStart w:id="18" w:name="_Toc404006808"/>
      <w:r>
        <w:rPr>
          <w:rFonts w:hint="eastAsia" w:ascii="宋体" w:hAnsi="宋体"/>
          <w:b/>
          <w:bCs/>
          <w:sz w:val="28"/>
          <w:szCs w:val="28"/>
        </w:rPr>
        <w:t>技术和服务要求</w:t>
      </w:r>
      <w:bookmarkEnd w:id="17"/>
    </w:p>
    <w:p w14:paraId="1E4C1B29">
      <w:pPr>
        <w:pStyle w:val="6"/>
        <w:numPr>
          <w:ilvl w:val="0"/>
          <w:numId w:val="0"/>
        </w:numPr>
        <w:spacing w:before="312" w:after="156"/>
        <w:jc w:val="center"/>
        <w:rPr>
          <w:rFonts w:hint="eastAsia" w:ascii="宋体" w:hAnsi="宋体" w:cs="宋体"/>
          <w:sz w:val="32"/>
          <w:szCs w:val="32"/>
          <w:lang w:val="en-US" w:eastAsia="zh-CN"/>
        </w:rPr>
      </w:pPr>
      <w:r>
        <w:rPr>
          <w:rFonts w:hint="eastAsia" w:ascii="宋体" w:hAnsi="宋体" w:cs="宋体"/>
          <w:sz w:val="32"/>
          <w:szCs w:val="32"/>
          <w:lang w:val="en-US" w:eastAsia="zh-CN"/>
        </w:rPr>
        <w:t>污水处理站部分</w:t>
      </w:r>
    </w:p>
    <w:bookmarkEnd w:id="5"/>
    <w:bookmarkEnd w:id="6"/>
    <w:bookmarkEnd w:id="10"/>
    <w:bookmarkEnd w:id="11"/>
    <w:bookmarkEnd w:id="12"/>
    <w:bookmarkEnd w:id="18"/>
    <w:p w14:paraId="6DE496FF">
      <w:pPr>
        <w:spacing w:line="360" w:lineRule="auto"/>
        <w:ind w:firstLine="480" w:firstLineChars="200"/>
        <w:jc w:val="left"/>
        <w:rPr>
          <w:rFonts w:ascii="宋体" w:hAnsi="宋体" w:cs="宋体"/>
          <w:sz w:val="24"/>
        </w:rPr>
      </w:pPr>
      <w:r>
        <w:rPr>
          <w:rFonts w:hint="eastAsia" w:ascii="宋体" w:hAnsi="宋体" w:cs="宋体"/>
          <w:sz w:val="24"/>
        </w:rPr>
        <w:t>1.主要服务内容：</w:t>
      </w:r>
    </w:p>
    <w:p w14:paraId="7CFFCDEF">
      <w:pPr>
        <w:spacing w:line="360" w:lineRule="auto"/>
        <w:ind w:firstLine="480" w:firstLineChars="200"/>
        <w:jc w:val="left"/>
        <w:rPr>
          <w:rFonts w:ascii="宋体" w:hAnsi="宋体" w:cs="宋体"/>
          <w:sz w:val="24"/>
        </w:rPr>
      </w:pPr>
      <w:r>
        <w:rPr>
          <w:rFonts w:hint="eastAsia" w:ascii="宋体" w:hAnsi="宋体" w:cs="宋体"/>
          <w:sz w:val="24"/>
        </w:rPr>
        <w:t>1.1完成污水处理站日常运营管理，污水处理站的范围界定为污水处理站格栅渠进水口（含格栅渠）始至污水处理站标准化排口（含标准化排口）止。</w:t>
      </w:r>
    </w:p>
    <w:p w14:paraId="736F91A2">
      <w:pPr>
        <w:spacing w:line="360" w:lineRule="auto"/>
        <w:ind w:firstLine="480" w:firstLineChars="200"/>
        <w:jc w:val="left"/>
        <w:rPr>
          <w:rFonts w:ascii="宋体" w:hAnsi="宋体" w:cs="宋体"/>
          <w:sz w:val="24"/>
        </w:rPr>
      </w:pPr>
      <w:r>
        <w:rPr>
          <w:rFonts w:hint="eastAsia" w:ascii="宋体" w:hAnsi="宋体" w:cs="宋体"/>
          <w:sz w:val="24"/>
        </w:rPr>
        <w:t>1.2污水处理站具体运营托管包括：所有设备设施日常运行、管理、维护、维修、保养，污水处理站运行所需的药剂、试剂、材料，污水处理站范围内管网的运营维护，水质自检及分析化验，运维人员配备及管理（运维人员工资福利、安全防护、安全责任），运维记录及技术资料存档，信息汇报等保证正常运营的所有内容。需确保出水水质稳定达标排放。（污处理站整体托管运营服务不包含排污许可证自行监测服务）。</w:t>
      </w:r>
    </w:p>
    <w:p w14:paraId="6A740AD1">
      <w:pPr>
        <w:spacing w:line="360" w:lineRule="auto"/>
        <w:ind w:firstLine="480" w:firstLineChars="200"/>
        <w:jc w:val="left"/>
        <w:rPr>
          <w:rFonts w:ascii="宋体" w:hAnsi="宋体" w:cs="宋体"/>
          <w:sz w:val="24"/>
        </w:rPr>
      </w:pPr>
      <w:r>
        <w:rPr>
          <w:rFonts w:hint="eastAsia" w:ascii="宋体" w:hAnsi="宋体" w:cs="宋体"/>
          <w:sz w:val="24"/>
        </w:rPr>
        <w:t>2、质量要求：</w:t>
      </w:r>
    </w:p>
    <w:p w14:paraId="26DF7661">
      <w:pPr>
        <w:spacing w:line="360" w:lineRule="auto"/>
        <w:ind w:firstLine="480" w:firstLineChars="200"/>
        <w:jc w:val="left"/>
        <w:rPr>
          <w:rFonts w:ascii="宋体" w:hAnsi="宋体" w:cs="宋体"/>
          <w:sz w:val="24"/>
        </w:rPr>
      </w:pPr>
      <w:r>
        <w:rPr>
          <w:rFonts w:hint="eastAsia" w:ascii="宋体" w:hAnsi="宋体" w:cs="宋体"/>
          <w:sz w:val="24"/>
        </w:rPr>
        <w:t>2.1运营托管期污水处理站出水排放要求：出水水质满足《医疗机构水污染物排放标准》（GB18466-2005）表1中的标准值。</w:t>
      </w:r>
    </w:p>
    <w:p w14:paraId="3AE330BA">
      <w:pPr>
        <w:spacing w:line="360" w:lineRule="auto"/>
        <w:ind w:firstLine="480" w:firstLineChars="200"/>
        <w:jc w:val="left"/>
        <w:rPr>
          <w:rFonts w:ascii="宋体" w:hAnsi="宋体" w:cs="宋体"/>
          <w:sz w:val="24"/>
        </w:rPr>
      </w:pPr>
      <w:r>
        <w:rPr>
          <w:rFonts w:hint="eastAsia" w:ascii="宋体" w:hAnsi="宋体" w:cs="宋体"/>
          <w:sz w:val="24"/>
        </w:rPr>
        <w:t>主要水质指标限制如下：</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2"/>
        <w:gridCol w:w="1704"/>
        <w:gridCol w:w="1704"/>
        <w:gridCol w:w="1704"/>
      </w:tblGrid>
      <w:tr w14:paraId="69C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14:paraId="29E8C7C1">
            <w:pPr>
              <w:spacing w:line="360" w:lineRule="auto"/>
              <w:jc w:val="center"/>
              <w:rPr>
                <w:rFonts w:ascii="宋体" w:hAnsi="宋体" w:cs="宋体"/>
                <w:sz w:val="24"/>
              </w:rPr>
            </w:pPr>
            <w:r>
              <w:rPr>
                <w:rFonts w:hint="eastAsia" w:ascii="宋体" w:hAnsi="宋体" w:cs="宋体"/>
                <w:sz w:val="24"/>
              </w:rPr>
              <w:t>pH（无量纲）</w:t>
            </w:r>
          </w:p>
        </w:tc>
        <w:tc>
          <w:tcPr>
            <w:tcW w:w="999" w:type="pct"/>
            <w:noWrap w:val="0"/>
            <w:vAlign w:val="center"/>
          </w:tcPr>
          <w:p w14:paraId="7FE5F433">
            <w:pPr>
              <w:spacing w:line="360" w:lineRule="auto"/>
              <w:ind w:left="0" w:leftChars="0" w:firstLine="0" w:firstLineChars="0"/>
              <w:jc w:val="both"/>
              <w:rPr>
                <w:rFonts w:ascii="宋体" w:hAnsi="宋体" w:cs="宋体"/>
                <w:sz w:val="24"/>
              </w:rPr>
            </w:pPr>
            <w:r>
              <w:rPr>
                <w:rFonts w:hint="eastAsia" w:ascii="宋体" w:hAnsi="宋体" w:cs="宋体"/>
                <w:sz w:val="24"/>
              </w:rPr>
              <w:t>COD（mg/L）</w:t>
            </w:r>
          </w:p>
        </w:tc>
        <w:tc>
          <w:tcPr>
            <w:tcW w:w="1000" w:type="pct"/>
            <w:noWrap w:val="0"/>
            <w:vAlign w:val="center"/>
          </w:tcPr>
          <w:p w14:paraId="0F870498">
            <w:pPr>
              <w:spacing w:line="360" w:lineRule="auto"/>
              <w:jc w:val="center"/>
              <w:rPr>
                <w:rFonts w:ascii="宋体" w:hAnsi="宋体" w:cs="宋体"/>
                <w:sz w:val="24"/>
              </w:rPr>
            </w:pPr>
            <w:r>
              <w:rPr>
                <w:rFonts w:hint="eastAsia" w:ascii="宋体" w:hAnsi="宋体" w:cs="宋体"/>
                <w:sz w:val="24"/>
              </w:rPr>
              <w:t>总余氯（mg/L）</w:t>
            </w:r>
          </w:p>
        </w:tc>
        <w:tc>
          <w:tcPr>
            <w:tcW w:w="1000" w:type="pct"/>
            <w:noWrap w:val="0"/>
            <w:vAlign w:val="center"/>
          </w:tcPr>
          <w:p w14:paraId="1413338A">
            <w:pPr>
              <w:spacing w:line="360" w:lineRule="auto"/>
              <w:jc w:val="center"/>
              <w:rPr>
                <w:rFonts w:ascii="宋体" w:hAnsi="宋体" w:cs="宋体"/>
                <w:sz w:val="24"/>
              </w:rPr>
            </w:pPr>
            <w:r>
              <w:rPr>
                <w:rFonts w:hint="eastAsia" w:ascii="宋体" w:hAnsi="宋体" w:cs="宋体"/>
                <w:sz w:val="24"/>
              </w:rPr>
              <w:t>SS（mg/L）</w:t>
            </w:r>
          </w:p>
        </w:tc>
        <w:tc>
          <w:tcPr>
            <w:tcW w:w="1000" w:type="pct"/>
            <w:noWrap w:val="0"/>
            <w:vAlign w:val="center"/>
          </w:tcPr>
          <w:p w14:paraId="09CFEF7F">
            <w:pPr>
              <w:spacing w:line="360" w:lineRule="auto"/>
              <w:jc w:val="center"/>
              <w:rPr>
                <w:rFonts w:ascii="宋体" w:hAnsi="宋体" w:cs="宋体"/>
                <w:sz w:val="24"/>
              </w:rPr>
            </w:pPr>
            <w:r>
              <w:rPr>
                <w:rFonts w:hint="eastAsia" w:ascii="宋体" w:hAnsi="宋体" w:cs="宋体"/>
                <w:sz w:val="24"/>
              </w:rPr>
              <w:t>粪大肠菌群数（MPN/L）</w:t>
            </w:r>
          </w:p>
        </w:tc>
      </w:tr>
      <w:tr w14:paraId="42B8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14:paraId="6E3C5B2F">
            <w:pPr>
              <w:spacing w:line="360" w:lineRule="auto"/>
              <w:jc w:val="center"/>
              <w:rPr>
                <w:rFonts w:ascii="宋体" w:hAnsi="宋体" w:cs="宋体"/>
                <w:sz w:val="24"/>
              </w:rPr>
            </w:pPr>
            <w:r>
              <w:rPr>
                <w:rFonts w:hint="eastAsia" w:ascii="宋体" w:hAnsi="宋体" w:cs="宋体"/>
                <w:sz w:val="24"/>
              </w:rPr>
              <w:t>6.0-9.0</w:t>
            </w:r>
          </w:p>
        </w:tc>
        <w:tc>
          <w:tcPr>
            <w:tcW w:w="999" w:type="pct"/>
            <w:noWrap w:val="0"/>
            <w:vAlign w:val="center"/>
          </w:tcPr>
          <w:p w14:paraId="1933B57F">
            <w:pPr>
              <w:spacing w:line="360" w:lineRule="auto"/>
              <w:jc w:val="center"/>
              <w:rPr>
                <w:rFonts w:ascii="宋体" w:hAnsi="宋体" w:cs="宋体"/>
                <w:sz w:val="24"/>
              </w:rPr>
            </w:pPr>
            <w:r>
              <w:rPr>
                <w:rFonts w:hint="eastAsia" w:ascii="宋体" w:hAnsi="宋体" w:cs="宋体"/>
                <w:sz w:val="24"/>
              </w:rPr>
              <w:t>≤250</w:t>
            </w:r>
          </w:p>
        </w:tc>
        <w:tc>
          <w:tcPr>
            <w:tcW w:w="1000" w:type="pct"/>
            <w:noWrap w:val="0"/>
            <w:vAlign w:val="center"/>
          </w:tcPr>
          <w:p w14:paraId="7D4B2C90">
            <w:pPr>
              <w:spacing w:line="360" w:lineRule="auto"/>
              <w:jc w:val="center"/>
              <w:rPr>
                <w:rFonts w:ascii="宋体" w:hAnsi="宋体" w:cs="宋体"/>
                <w:sz w:val="24"/>
              </w:rPr>
            </w:pPr>
            <w:r>
              <w:rPr>
                <w:rFonts w:hint="eastAsia" w:ascii="宋体" w:hAnsi="宋体" w:cs="宋体"/>
                <w:sz w:val="24"/>
              </w:rPr>
              <w:t>2-8</w:t>
            </w:r>
          </w:p>
        </w:tc>
        <w:tc>
          <w:tcPr>
            <w:tcW w:w="1000" w:type="pct"/>
            <w:noWrap w:val="0"/>
            <w:vAlign w:val="center"/>
          </w:tcPr>
          <w:p w14:paraId="228150C3">
            <w:pPr>
              <w:spacing w:line="360" w:lineRule="auto"/>
              <w:jc w:val="center"/>
              <w:rPr>
                <w:rFonts w:ascii="宋体" w:hAnsi="宋体" w:cs="宋体"/>
                <w:sz w:val="24"/>
              </w:rPr>
            </w:pPr>
            <w:r>
              <w:rPr>
                <w:rFonts w:hint="eastAsia" w:ascii="宋体" w:hAnsi="宋体" w:cs="宋体"/>
                <w:sz w:val="24"/>
              </w:rPr>
              <w:t>≤60</w:t>
            </w:r>
          </w:p>
        </w:tc>
        <w:tc>
          <w:tcPr>
            <w:tcW w:w="1000" w:type="pct"/>
            <w:noWrap w:val="0"/>
            <w:vAlign w:val="center"/>
          </w:tcPr>
          <w:p w14:paraId="31007CD5">
            <w:pPr>
              <w:spacing w:line="360" w:lineRule="auto"/>
              <w:jc w:val="center"/>
              <w:rPr>
                <w:rFonts w:ascii="宋体" w:hAnsi="宋体" w:cs="宋体"/>
                <w:sz w:val="24"/>
              </w:rPr>
            </w:pPr>
            <w:r>
              <w:rPr>
                <w:rFonts w:hint="eastAsia" w:ascii="宋体" w:hAnsi="宋体" w:cs="宋体"/>
                <w:sz w:val="24"/>
              </w:rPr>
              <w:t>≤5000</w:t>
            </w:r>
          </w:p>
        </w:tc>
      </w:tr>
    </w:tbl>
    <w:p w14:paraId="78C04CCF">
      <w:pPr>
        <w:spacing w:line="360" w:lineRule="auto"/>
        <w:ind w:firstLine="480" w:firstLineChars="200"/>
        <w:jc w:val="left"/>
        <w:rPr>
          <w:rFonts w:ascii="宋体" w:hAnsi="宋体" w:cs="宋体"/>
          <w:sz w:val="24"/>
        </w:rPr>
      </w:pPr>
      <w:r>
        <w:rPr>
          <w:rFonts w:hint="eastAsia" w:ascii="宋体" w:hAnsi="宋体" w:cs="宋体"/>
          <w:sz w:val="24"/>
        </w:rPr>
        <w:t>2.2污水站废气排放要求：污水站废气排放满足《医疗机构水污染排放标准》（GB18466-2005）中关于废气排放要求的规定。</w:t>
      </w:r>
    </w:p>
    <w:p w14:paraId="2C8F0AA7">
      <w:pPr>
        <w:spacing w:line="360" w:lineRule="auto"/>
        <w:ind w:firstLine="480" w:firstLineChars="200"/>
        <w:jc w:val="left"/>
        <w:rPr>
          <w:rFonts w:ascii="宋体" w:hAnsi="宋体" w:cs="宋体"/>
          <w:sz w:val="24"/>
        </w:rPr>
      </w:pPr>
      <w:r>
        <w:rPr>
          <w:rFonts w:hint="eastAsia" w:ascii="宋体" w:hAnsi="宋体" w:cs="宋体"/>
          <w:sz w:val="24"/>
        </w:rPr>
        <w:t>具体指标如下：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1679"/>
        <w:gridCol w:w="1681"/>
        <w:gridCol w:w="1296"/>
        <w:gridCol w:w="2188"/>
      </w:tblGrid>
      <w:tr w14:paraId="750C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noWrap w:val="0"/>
            <w:vAlign w:val="center"/>
          </w:tcPr>
          <w:p w14:paraId="4FB60422">
            <w:pPr>
              <w:spacing w:line="360" w:lineRule="auto"/>
              <w:ind w:firstLine="480" w:firstLineChars="200"/>
              <w:jc w:val="left"/>
              <w:rPr>
                <w:rFonts w:ascii="宋体" w:hAnsi="宋体" w:cs="宋体"/>
                <w:sz w:val="24"/>
              </w:rPr>
            </w:pPr>
            <w:r>
              <w:rPr>
                <w:rFonts w:hint="eastAsia" w:ascii="宋体" w:hAnsi="宋体" w:cs="宋体"/>
                <w:sz w:val="24"/>
              </w:rPr>
              <w:t>氨（mg/m3）</w:t>
            </w:r>
          </w:p>
        </w:tc>
        <w:tc>
          <w:tcPr>
            <w:tcW w:w="985" w:type="pct"/>
            <w:noWrap w:val="0"/>
            <w:vAlign w:val="center"/>
          </w:tcPr>
          <w:p w14:paraId="7A13FD3B">
            <w:pPr>
              <w:spacing w:line="360" w:lineRule="auto"/>
              <w:ind w:firstLine="480" w:firstLineChars="200"/>
              <w:jc w:val="left"/>
              <w:rPr>
                <w:rFonts w:ascii="宋体" w:hAnsi="宋体" w:cs="宋体"/>
                <w:sz w:val="24"/>
              </w:rPr>
            </w:pPr>
            <w:r>
              <w:rPr>
                <w:rFonts w:hint="eastAsia" w:ascii="宋体" w:hAnsi="宋体" w:cs="宋体"/>
                <w:sz w:val="24"/>
              </w:rPr>
              <w:t>硫化氢（mg/m3）</w:t>
            </w:r>
          </w:p>
        </w:tc>
        <w:tc>
          <w:tcPr>
            <w:tcW w:w="986" w:type="pct"/>
            <w:noWrap w:val="0"/>
            <w:vAlign w:val="center"/>
          </w:tcPr>
          <w:p w14:paraId="353BEB06">
            <w:pPr>
              <w:spacing w:line="360" w:lineRule="auto"/>
              <w:ind w:firstLine="480" w:firstLineChars="200"/>
              <w:jc w:val="left"/>
              <w:rPr>
                <w:rFonts w:ascii="宋体" w:hAnsi="宋体" w:cs="宋体"/>
                <w:sz w:val="24"/>
              </w:rPr>
            </w:pPr>
            <w:r>
              <w:rPr>
                <w:rFonts w:hint="eastAsia" w:ascii="宋体" w:hAnsi="宋体" w:cs="宋体"/>
                <w:sz w:val="24"/>
              </w:rPr>
              <w:t>臭气浓度</w:t>
            </w:r>
          </w:p>
          <w:p w14:paraId="7C23BB72">
            <w:pPr>
              <w:spacing w:line="360" w:lineRule="auto"/>
              <w:ind w:firstLine="480" w:firstLineChars="200"/>
              <w:jc w:val="left"/>
              <w:rPr>
                <w:rFonts w:ascii="宋体" w:hAnsi="宋体" w:cs="宋体"/>
                <w:sz w:val="24"/>
              </w:rPr>
            </w:pPr>
            <w:r>
              <w:rPr>
                <w:rFonts w:hint="eastAsia" w:ascii="宋体" w:hAnsi="宋体" w:cs="宋体"/>
                <w:sz w:val="24"/>
              </w:rPr>
              <w:t>（无量纲）</w:t>
            </w:r>
          </w:p>
        </w:tc>
        <w:tc>
          <w:tcPr>
            <w:tcW w:w="760" w:type="pct"/>
            <w:noWrap w:val="0"/>
            <w:vAlign w:val="center"/>
          </w:tcPr>
          <w:p w14:paraId="7A68AC0F">
            <w:pPr>
              <w:spacing w:line="360" w:lineRule="auto"/>
              <w:ind w:firstLine="480" w:firstLineChars="200"/>
              <w:jc w:val="left"/>
              <w:rPr>
                <w:rFonts w:ascii="宋体" w:hAnsi="宋体" w:cs="宋体"/>
                <w:sz w:val="24"/>
              </w:rPr>
            </w:pPr>
            <w:r>
              <w:rPr>
                <w:rFonts w:hint="eastAsia" w:ascii="宋体" w:hAnsi="宋体" w:cs="宋体"/>
                <w:sz w:val="24"/>
              </w:rPr>
              <w:t>氯气（mg/m3）</w:t>
            </w:r>
          </w:p>
        </w:tc>
        <w:tc>
          <w:tcPr>
            <w:tcW w:w="1284" w:type="pct"/>
            <w:noWrap w:val="0"/>
            <w:vAlign w:val="center"/>
          </w:tcPr>
          <w:p w14:paraId="7C1E3AD5">
            <w:pPr>
              <w:spacing w:line="360" w:lineRule="auto"/>
              <w:ind w:firstLine="480" w:firstLineChars="200"/>
              <w:jc w:val="left"/>
              <w:rPr>
                <w:rFonts w:ascii="宋体" w:hAnsi="宋体" w:cs="宋体"/>
                <w:sz w:val="24"/>
              </w:rPr>
            </w:pPr>
            <w:r>
              <w:rPr>
                <w:rFonts w:hint="eastAsia" w:ascii="宋体" w:hAnsi="宋体" w:cs="宋体"/>
                <w:sz w:val="24"/>
              </w:rPr>
              <w:t>甲烷（指处理站内最高体积百分数%）</w:t>
            </w:r>
          </w:p>
        </w:tc>
      </w:tr>
      <w:tr w14:paraId="384E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noWrap w:val="0"/>
            <w:vAlign w:val="center"/>
          </w:tcPr>
          <w:p w14:paraId="4EEDF823">
            <w:pPr>
              <w:spacing w:line="360" w:lineRule="auto"/>
              <w:ind w:firstLine="480" w:firstLineChars="200"/>
              <w:jc w:val="left"/>
              <w:rPr>
                <w:rFonts w:ascii="宋体" w:hAnsi="宋体" w:cs="宋体"/>
                <w:sz w:val="24"/>
              </w:rPr>
            </w:pPr>
            <w:r>
              <w:rPr>
                <w:rFonts w:hint="eastAsia" w:ascii="宋体" w:hAnsi="宋体" w:cs="宋体"/>
                <w:sz w:val="24"/>
              </w:rPr>
              <w:t>≤1.0</w:t>
            </w:r>
          </w:p>
        </w:tc>
        <w:tc>
          <w:tcPr>
            <w:tcW w:w="985" w:type="pct"/>
            <w:noWrap w:val="0"/>
            <w:vAlign w:val="center"/>
          </w:tcPr>
          <w:p w14:paraId="0F254CD6">
            <w:pPr>
              <w:spacing w:line="360" w:lineRule="auto"/>
              <w:ind w:firstLine="480" w:firstLineChars="200"/>
              <w:jc w:val="left"/>
              <w:rPr>
                <w:rFonts w:ascii="宋体" w:hAnsi="宋体" w:cs="宋体"/>
                <w:sz w:val="24"/>
              </w:rPr>
            </w:pPr>
            <w:r>
              <w:rPr>
                <w:rFonts w:hint="eastAsia" w:ascii="宋体" w:hAnsi="宋体" w:cs="宋体"/>
                <w:sz w:val="24"/>
              </w:rPr>
              <w:t>≤0.03</w:t>
            </w:r>
          </w:p>
        </w:tc>
        <w:tc>
          <w:tcPr>
            <w:tcW w:w="986" w:type="pct"/>
            <w:noWrap w:val="0"/>
            <w:vAlign w:val="center"/>
          </w:tcPr>
          <w:p w14:paraId="53405336">
            <w:pPr>
              <w:spacing w:line="360" w:lineRule="auto"/>
              <w:ind w:firstLine="480" w:firstLineChars="200"/>
              <w:jc w:val="left"/>
              <w:rPr>
                <w:rFonts w:ascii="宋体" w:hAnsi="宋体" w:cs="宋体"/>
                <w:sz w:val="24"/>
              </w:rPr>
            </w:pPr>
            <w:r>
              <w:rPr>
                <w:rFonts w:hint="eastAsia" w:ascii="宋体" w:hAnsi="宋体" w:cs="宋体"/>
                <w:sz w:val="24"/>
              </w:rPr>
              <w:t>≤10</w:t>
            </w:r>
          </w:p>
        </w:tc>
        <w:tc>
          <w:tcPr>
            <w:tcW w:w="760" w:type="pct"/>
            <w:noWrap w:val="0"/>
            <w:vAlign w:val="center"/>
          </w:tcPr>
          <w:p w14:paraId="525E339D">
            <w:pPr>
              <w:spacing w:line="360" w:lineRule="auto"/>
              <w:ind w:firstLine="480" w:firstLineChars="200"/>
              <w:jc w:val="left"/>
              <w:rPr>
                <w:rFonts w:ascii="宋体" w:hAnsi="宋体" w:cs="宋体"/>
                <w:sz w:val="24"/>
              </w:rPr>
            </w:pPr>
            <w:r>
              <w:rPr>
                <w:rFonts w:hint="eastAsia" w:ascii="宋体" w:hAnsi="宋体" w:cs="宋体"/>
                <w:sz w:val="24"/>
              </w:rPr>
              <w:t>≤0.1</w:t>
            </w:r>
          </w:p>
        </w:tc>
        <w:tc>
          <w:tcPr>
            <w:tcW w:w="1284" w:type="pct"/>
            <w:noWrap w:val="0"/>
            <w:vAlign w:val="center"/>
          </w:tcPr>
          <w:p w14:paraId="05143C20">
            <w:pPr>
              <w:spacing w:line="360" w:lineRule="auto"/>
              <w:ind w:firstLine="480" w:firstLineChars="200"/>
              <w:jc w:val="left"/>
              <w:rPr>
                <w:rFonts w:ascii="宋体" w:hAnsi="宋体" w:cs="宋体"/>
                <w:sz w:val="24"/>
              </w:rPr>
            </w:pPr>
            <w:r>
              <w:rPr>
                <w:rFonts w:hint="eastAsia" w:ascii="宋体" w:hAnsi="宋体" w:cs="宋体"/>
                <w:sz w:val="24"/>
              </w:rPr>
              <w:t>≤1%</w:t>
            </w:r>
          </w:p>
        </w:tc>
      </w:tr>
    </w:tbl>
    <w:p w14:paraId="3155BA97">
      <w:pPr>
        <w:spacing w:line="360" w:lineRule="auto"/>
        <w:ind w:firstLine="480" w:firstLineChars="200"/>
        <w:jc w:val="left"/>
        <w:rPr>
          <w:rFonts w:ascii="宋体" w:hAnsi="宋体" w:cs="宋体"/>
          <w:sz w:val="24"/>
        </w:rPr>
      </w:pPr>
      <w:r>
        <w:rPr>
          <w:rFonts w:hint="eastAsia" w:ascii="宋体" w:hAnsi="宋体" w:cs="宋体"/>
          <w:sz w:val="24"/>
        </w:rPr>
        <w:t>2.3污水处理站污泥处置要求：符合《医疗机构水污染物排放标准》（GB18466-2005）中的污泥控制与处置要求，由成交人定期压滤暂存，由采购人委托具有危险废物经营许可证的第三方单位处置。</w:t>
      </w:r>
    </w:p>
    <w:p w14:paraId="4ADCE471">
      <w:pPr>
        <w:spacing w:line="360" w:lineRule="auto"/>
        <w:ind w:firstLine="480" w:firstLineChars="200"/>
        <w:jc w:val="left"/>
        <w:rPr>
          <w:rFonts w:ascii="宋体" w:hAnsi="宋体" w:cs="宋体"/>
          <w:sz w:val="24"/>
        </w:rPr>
      </w:pPr>
      <w:r>
        <w:rPr>
          <w:rFonts w:hint="eastAsia" w:ascii="宋体" w:hAnsi="宋体" w:cs="宋体"/>
          <w:sz w:val="24"/>
        </w:rPr>
        <w:t>2.4进、出水水质监测要求</w:t>
      </w:r>
    </w:p>
    <w:p w14:paraId="2A698731">
      <w:pPr>
        <w:spacing w:line="360" w:lineRule="auto"/>
        <w:ind w:firstLine="480" w:firstLineChars="200"/>
        <w:jc w:val="left"/>
        <w:rPr>
          <w:rFonts w:ascii="宋体" w:hAnsi="宋体" w:cs="宋体"/>
          <w:sz w:val="24"/>
        </w:rPr>
      </w:pPr>
      <w:r>
        <w:rPr>
          <w:rFonts w:hint="eastAsia" w:ascii="宋体" w:hAnsi="宋体" w:cs="宋体"/>
          <w:sz w:val="24"/>
        </w:rPr>
        <w:t>2.4.1成交人自检：对污水处理站的出水进行取样检测分析，每天对排放口水样进行不得少于2次的总余氯检测</w:t>
      </w:r>
      <w:r>
        <w:rPr>
          <w:rFonts w:hint="eastAsia" w:ascii="宋体" w:hAnsi="宋体" w:cs="宋体"/>
          <w:sz w:val="24"/>
          <w:lang w:eastAsia="zh-CN"/>
        </w:rPr>
        <w:t>（其中贤南分部为紫外消毒）</w:t>
      </w:r>
      <w:r>
        <w:rPr>
          <w:rFonts w:hint="eastAsia" w:ascii="宋体" w:hAnsi="宋体" w:cs="宋体"/>
          <w:sz w:val="24"/>
        </w:rPr>
        <w:t>，保证污水排放符合相应排放口的排放标准。</w:t>
      </w:r>
    </w:p>
    <w:p w14:paraId="313EBDCF">
      <w:pPr>
        <w:spacing w:line="360" w:lineRule="auto"/>
        <w:ind w:firstLine="480" w:firstLineChars="200"/>
        <w:jc w:val="left"/>
        <w:rPr>
          <w:rFonts w:ascii="宋体" w:hAnsi="宋体" w:cs="宋体"/>
          <w:sz w:val="24"/>
        </w:rPr>
      </w:pPr>
      <w:r>
        <w:rPr>
          <w:rFonts w:hint="eastAsia" w:ascii="宋体" w:hAnsi="宋体" w:cs="宋体"/>
          <w:sz w:val="24"/>
        </w:rPr>
        <w:t>2.4.</w:t>
      </w:r>
      <w:r>
        <w:rPr>
          <w:rFonts w:hint="eastAsia" w:ascii="宋体" w:hAnsi="宋体" w:cs="宋体"/>
          <w:sz w:val="24"/>
          <w:lang w:val="en-US" w:eastAsia="zh-CN"/>
        </w:rPr>
        <w:t>2</w:t>
      </w:r>
      <w:r>
        <w:rPr>
          <w:rFonts w:hint="eastAsia" w:ascii="宋体" w:hAnsi="宋体" w:cs="宋体"/>
          <w:sz w:val="24"/>
        </w:rPr>
        <w:t>生态环境部门监测：生态环境部门按国家有关规定进行监测（强制监测）。</w:t>
      </w:r>
    </w:p>
    <w:p w14:paraId="223AA3B6">
      <w:pPr>
        <w:spacing w:line="360" w:lineRule="auto"/>
        <w:ind w:firstLine="480" w:firstLineChars="200"/>
        <w:jc w:val="left"/>
        <w:rPr>
          <w:rFonts w:ascii="宋体" w:hAnsi="宋体" w:cs="宋体"/>
          <w:sz w:val="24"/>
        </w:rPr>
      </w:pPr>
      <w:r>
        <w:rPr>
          <w:rFonts w:hint="eastAsia" w:ascii="宋体" w:hAnsi="宋体" w:cs="宋体"/>
          <w:sz w:val="24"/>
        </w:rPr>
        <w:t>3、运营维护具体要求</w:t>
      </w:r>
    </w:p>
    <w:p w14:paraId="5991DA6E">
      <w:pPr>
        <w:spacing w:line="360" w:lineRule="auto"/>
        <w:ind w:firstLine="480" w:firstLineChars="200"/>
        <w:jc w:val="left"/>
        <w:rPr>
          <w:rFonts w:ascii="宋体" w:hAnsi="宋体" w:cs="宋体"/>
          <w:color w:val="auto"/>
          <w:sz w:val="24"/>
        </w:rPr>
      </w:pPr>
      <w:r>
        <w:rPr>
          <w:rFonts w:hint="eastAsia" w:ascii="宋体" w:hAnsi="宋体" w:cs="宋体"/>
          <w:sz w:val="24"/>
        </w:rPr>
        <w:t>3.1完善设备、设施资料，制定设备、设施维修保养制度，并严格执行。各种设备要精心保养维护，保持其处于最佳工作状态。</w:t>
      </w:r>
      <w:r>
        <w:rPr>
          <w:rFonts w:hint="eastAsia" w:ascii="宋体" w:hAnsi="宋体" w:cs="宋体"/>
          <w:color w:val="auto"/>
          <w:sz w:val="24"/>
          <w:lang w:eastAsia="zh-CN"/>
        </w:rPr>
        <w:t>成交人</w:t>
      </w:r>
      <w:r>
        <w:rPr>
          <w:rFonts w:hint="eastAsia" w:ascii="宋体" w:hAnsi="宋体" w:cs="宋体"/>
          <w:color w:val="auto"/>
          <w:sz w:val="24"/>
        </w:rPr>
        <w:t>负责污水处理设施设备的日常维护和保养，日常修理零备件单价500元以下，由</w:t>
      </w:r>
      <w:r>
        <w:rPr>
          <w:rFonts w:hint="eastAsia" w:ascii="宋体" w:hAnsi="宋体" w:cs="宋体"/>
          <w:color w:val="auto"/>
          <w:sz w:val="24"/>
          <w:lang w:eastAsia="zh-CN"/>
        </w:rPr>
        <w:t>成交人</w:t>
      </w:r>
      <w:r>
        <w:rPr>
          <w:rFonts w:hint="eastAsia" w:ascii="宋体" w:hAnsi="宋体" w:cs="宋体"/>
          <w:color w:val="auto"/>
          <w:sz w:val="24"/>
        </w:rPr>
        <w:t>提供，并负责实施；其余零备件由采购人提供。</w:t>
      </w:r>
    </w:p>
    <w:p w14:paraId="7929512E">
      <w:pPr>
        <w:spacing w:line="360" w:lineRule="auto"/>
        <w:ind w:firstLine="480" w:firstLineChars="200"/>
        <w:jc w:val="left"/>
        <w:rPr>
          <w:rFonts w:hint="eastAsia" w:ascii="宋体" w:hAnsi="宋体" w:cs="宋体"/>
          <w:sz w:val="24"/>
        </w:rPr>
      </w:pPr>
      <w:r>
        <w:rPr>
          <w:rFonts w:hint="eastAsia" w:ascii="宋体" w:hAnsi="宋体" w:cs="宋体"/>
          <w:sz w:val="24"/>
        </w:rPr>
        <w:t>3.2污水处理系统运行期间要认真巡回检查，并做记录，发现异常情况及时妥善处理，跟踪处理结果及其对污水处理系统带来的影响。</w:t>
      </w:r>
    </w:p>
    <w:p w14:paraId="77160E92">
      <w:pPr>
        <w:spacing w:line="360" w:lineRule="auto"/>
        <w:ind w:firstLine="480" w:firstLineChars="200"/>
        <w:jc w:val="left"/>
        <w:rPr>
          <w:rFonts w:ascii="宋体" w:hAnsi="宋体" w:cs="宋体"/>
          <w:sz w:val="24"/>
        </w:rPr>
      </w:pPr>
      <w:r>
        <w:rPr>
          <w:rFonts w:hint="eastAsia" w:ascii="宋体" w:hAnsi="宋体" w:cs="宋体"/>
          <w:sz w:val="24"/>
        </w:rPr>
        <w:t>3.3派维护保养人员对污水处理站运行设备进行维护保养，保存设备维护保养记录，形成设备维护记录档案。</w:t>
      </w:r>
    </w:p>
    <w:p w14:paraId="7F74BC7C">
      <w:pPr>
        <w:spacing w:line="360" w:lineRule="auto"/>
        <w:ind w:firstLine="480" w:firstLineChars="200"/>
        <w:jc w:val="left"/>
        <w:rPr>
          <w:rFonts w:ascii="宋体" w:hAnsi="宋体" w:cs="宋体"/>
          <w:b/>
          <w:bCs/>
          <w:sz w:val="24"/>
        </w:rPr>
      </w:pPr>
      <w:r>
        <w:rPr>
          <w:rFonts w:hint="eastAsia" w:ascii="宋体" w:hAnsi="宋体" w:cs="宋体"/>
          <w:sz w:val="24"/>
        </w:rPr>
        <w:t>3.4成交人应将运营记录、设备维护记录、检修记录、操作人员交接班记录、加药记录、季度运营报告，按季度汇总报送采购人。</w:t>
      </w:r>
    </w:p>
    <w:p w14:paraId="2CF7036C">
      <w:pPr>
        <w:spacing w:line="360" w:lineRule="auto"/>
        <w:ind w:firstLine="480" w:firstLineChars="200"/>
        <w:jc w:val="left"/>
        <w:rPr>
          <w:rFonts w:ascii="宋体" w:hAnsi="宋体" w:cs="宋体"/>
          <w:sz w:val="24"/>
        </w:rPr>
      </w:pPr>
      <w:r>
        <w:rPr>
          <w:rFonts w:hint="eastAsia" w:ascii="宋体" w:hAnsi="宋体" w:cs="宋体"/>
          <w:sz w:val="24"/>
        </w:rPr>
        <w:t>3.5在日常运营工作中，保持地面和设备表面干净、清洁，设备表面无灰尘，同时维护污水处理站区域内的环境整洁、有序。应建立运行管理制度、设备操作规范及危险品管理等相关制度并统一定制上墙。</w:t>
      </w:r>
    </w:p>
    <w:p w14:paraId="22256FBD">
      <w:pPr>
        <w:spacing w:line="360" w:lineRule="auto"/>
        <w:ind w:firstLine="480" w:firstLineChars="200"/>
        <w:jc w:val="left"/>
        <w:rPr>
          <w:rFonts w:ascii="宋体" w:hAnsi="宋体" w:cs="宋体"/>
          <w:sz w:val="24"/>
        </w:rPr>
      </w:pPr>
      <w:r>
        <w:rPr>
          <w:rFonts w:hint="eastAsia" w:ascii="宋体" w:hAnsi="宋体" w:cs="宋体"/>
          <w:sz w:val="24"/>
        </w:rPr>
        <w:t>3.9按照国家相关危废标准和规定，负责格栅渣、污水站压滤后污泥等，并符合《医疗机构水污染物排放标准（GB18466-2005）中的污泥控制与处置要求，危险废物（含污水处理站运行产生的污泥）处置费用由采购人负责；除危险废物（含污水处理站运行产生的污泥））处置费用由采购人负责外，其他费用由成交人承担，其他费用包含在总价中。</w:t>
      </w:r>
    </w:p>
    <w:p w14:paraId="12CDA42F">
      <w:pPr>
        <w:spacing w:line="360" w:lineRule="auto"/>
        <w:ind w:firstLine="480" w:firstLineChars="200"/>
        <w:jc w:val="left"/>
        <w:rPr>
          <w:rFonts w:ascii="宋体" w:hAnsi="宋体" w:cs="宋体"/>
          <w:sz w:val="24"/>
        </w:rPr>
      </w:pPr>
      <w:r>
        <w:rPr>
          <w:rFonts w:hint="eastAsia" w:ascii="宋体" w:hAnsi="宋体" w:cs="宋体"/>
          <w:sz w:val="24"/>
        </w:rPr>
        <w:t>3.10负责与主管生态环境部门的业务联系，做好生态环境部门检查时的接待工作，并安排专人参加生态环境部门年度培训。</w:t>
      </w:r>
    </w:p>
    <w:p w14:paraId="58334841">
      <w:pPr>
        <w:spacing w:line="360" w:lineRule="auto"/>
        <w:ind w:firstLine="480" w:firstLineChars="200"/>
        <w:jc w:val="left"/>
        <w:rPr>
          <w:rFonts w:ascii="宋体" w:hAnsi="宋体" w:cs="宋体"/>
          <w:sz w:val="24"/>
        </w:rPr>
      </w:pPr>
      <w:r>
        <w:rPr>
          <w:rFonts w:hint="eastAsia" w:ascii="宋体" w:hAnsi="宋体" w:cs="宋体"/>
          <w:sz w:val="24"/>
        </w:rPr>
        <w:t>3.1</w:t>
      </w:r>
      <w:r>
        <w:rPr>
          <w:rFonts w:hint="eastAsia" w:ascii="宋体" w:hAnsi="宋体" w:cs="宋体"/>
          <w:sz w:val="24"/>
          <w:lang w:val="en-US" w:eastAsia="zh-CN"/>
        </w:rPr>
        <w:t>1</w:t>
      </w:r>
      <w:r>
        <w:rPr>
          <w:rFonts w:hint="eastAsia" w:ascii="宋体" w:hAnsi="宋体" w:cs="宋体"/>
          <w:sz w:val="24"/>
        </w:rPr>
        <w:t>负责配合医院各项迎检工作，做好相关资料整理、制作和收集，符合各项检查的标准和要求。</w:t>
      </w:r>
    </w:p>
    <w:p w14:paraId="687A4FD3">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13</w:t>
      </w:r>
      <w:r>
        <w:rPr>
          <w:rFonts w:hint="eastAsia" w:ascii="宋体" w:hAnsi="宋体" w:cs="宋体"/>
          <w:sz w:val="24"/>
        </w:rPr>
        <w:t>负责污水站检修、维修的人员（队伍）调度安排，在设备发生故障，接收到故障通知后</w:t>
      </w:r>
      <w:r>
        <w:rPr>
          <w:rFonts w:hint="eastAsia" w:ascii="宋体" w:hAnsi="宋体" w:cs="宋体"/>
          <w:sz w:val="24"/>
          <w:lang w:val="en-US" w:eastAsia="zh-CN"/>
        </w:rPr>
        <w:t>30</w:t>
      </w:r>
      <w:r>
        <w:rPr>
          <w:rFonts w:hint="eastAsia" w:ascii="宋体" w:hAnsi="宋体" w:cs="宋体"/>
          <w:sz w:val="24"/>
        </w:rPr>
        <w:t>分钟内到达驻点进行应急处置，</w:t>
      </w:r>
      <w:r>
        <w:rPr>
          <w:rFonts w:hint="eastAsia" w:ascii="宋体" w:hAnsi="宋体" w:cs="宋体"/>
          <w:sz w:val="24"/>
          <w:lang w:val="en-US" w:eastAsia="zh-CN"/>
        </w:rPr>
        <w:t>2</w:t>
      </w:r>
      <w:r>
        <w:rPr>
          <w:rFonts w:hint="eastAsia" w:ascii="宋体" w:hAnsi="宋体" w:cs="宋体"/>
          <w:sz w:val="24"/>
        </w:rPr>
        <w:t>小时内检修、维修的人员到达现场，</w:t>
      </w:r>
      <w:r>
        <w:rPr>
          <w:rFonts w:hint="eastAsia" w:ascii="宋体" w:hAnsi="宋体" w:cs="宋体"/>
          <w:sz w:val="24"/>
          <w:lang w:val="en-US" w:eastAsia="zh-CN"/>
        </w:rPr>
        <w:t>4</w:t>
      </w:r>
      <w:r>
        <w:rPr>
          <w:rFonts w:hint="eastAsia" w:ascii="宋体" w:hAnsi="宋体" w:cs="宋体"/>
          <w:sz w:val="24"/>
        </w:rPr>
        <w:t>小时内检修解除故障。在确实没有维修条件的情况下应及时汇报，并采取有效的应急措施，报价人须先投入备用设备，保证污水正常处理，防止出现环境和安全事故。以上情况而产生的所有费用均为报价人负责。</w:t>
      </w:r>
    </w:p>
    <w:p w14:paraId="72199CBD">
      <w:pPr>
        <w:spacing w:line="360" w:lineRule="auto"/>
        <w:ind w:firstLine="480" w:firstLineChars="200"/>
        <w:jc w:val="left"/>
        <w:rPr>
          <w:rFonts w:ascii="宋体" w:hAnsi="宋体" w:cs="宋体"/>
          <w:sz w:val="24"/>
        </w:rPr>
      </w:pPr>
      <w:r>
        <w:rPr>
          <w:rFonts w:hint="eastAsia" w:ascii="宋体" w:hAnsi="宋体" w:cs="宋体"/>
          <w:sz w:val="24"/>
        </w:rPr>
        <w:t>4、服务本项目人员要求</w:t>
      </w:r>
    </w:p>
    <w:p w14:paraId="729D4CDC">
      <w:pPr>
        <w:spacing w:line="360" w:lineRule="auto"/>
        <w:ind w:firstLine="480" w:firstLineChars="200"/>
        <w:jc w:val="left"/>
        <w:rPr>
          <w:rFonts w:ascii="宋体" w:hAnsi="宋体" w:cs="宋体"/>
          <w:sz w:val="24"/>
        </w:rPr>
      </w:pPr>
      <w:r>
        <w:rPr>
          <w:rFonts w:hint="eastAsia" w:ascii="宋体" w:hAnsi="宋体" w:cs="宋体"/>
          <w:sz w:val="24"/>
        </w:rPr>
        <w:t>4.1为保障运维工作正常顺利开展，报价人投入本项目的人员不少于</w:t>
      </w:r>
      <w:r>
        <w:rPr>
          <w:rFonts w:hint="eastAsia" w:ascii="宋体" w:hAnsi="宋体" w:cs="宋体"/>
          <w:sz w:val="24"/>
          <w:lang w:val="en-US" w:eastAsia="zh-CN"/>
        </w:rPr>
        <w:t>6</w:t>
      </w:r>
      <w:r>
        <w:rPr>
          <w:rFonts w:hint="eastAsia" w:ascii="宋体" w:hAnsi="宋体" w:cs="宋体"/>
          <w:sz w:val="24"/>
        </w:rPr>
        <w:t>人，</w:t>
      </w:r>
      <w:r>
        <w:rPr>
          <w:rFonts w:hint="eastAsia" w:ascii="宋体" w:hAnsi="宋体" w:cs="宋体"/>
          <w:color w:val="auto"/>
          <w:sz w:val="24"/>
        </w:rPr>
        <w:t>其中</w:t>
      </w:r>
      <w:r>
        <w:rPr>
          <w:rFonts w:hint="eastAsia" w:ascii="宋体" w:hAnsi="宋体" w:cs="宋体"/>
          <w:sz w:val="24"/>
        </w:rPr>
        <w:t>项目负责人</w:t>
      </w:r>
      <w:r>
        <w:rPr>
          <w:rFonts w:hint="eastAsia" w:ascii="宋体" w:hAnsi="宋体" w:cs="宋体"/>
          <w:sz w:val="24"/>
          <w:lang w:val="en-US" w:eastAsia="zh-CN"/>
        </w:rPr>
        <w:t>1</w:t>
      </w:r>
      <w:r>
        <w:rPr>
          <w:rFonts w:hint="eastAsia" w:ascii="宋体" w:hAnsi="宋体" w:cs="宋体"/>
          <w:sz w:val="24"/>
        </w:rPr>
        <w:t>名，技术负责</w:t>
      </w:r>
      <w:r>
        <w:rPr>
          <w:rFonts w:hint="eastAsia" w:ascii="宋体" w:hAnsi="宋体" w:cs="宋体"/>
          <w:sz w:val="24"/>
          <w:lang w:val="en-US" w:eastAsia="zh-CN"/>
        </w:rPr>
        <w:t>1</w:t>
      </w:r>
      <w:r>
        <w:rPr>
          <w:rFonts w:hint="eastAsia" w:ascii="宋体" w:hAnsi="宋体" w:cs="宋体"/>
          <w:sz w:val="24"/>
        </w:rPr>
        <w:t>名，运维人员</w:t>
      </w:r>
      <w:r>
        <w:rPr>
          <w:rFonts w:hint="eastAsia" w:ascii="宋体" w:hAnsi="宋体" w:cs="宋体"/>
          <w:sz w:val="24"/>
          <w:lang w:val="en-US" w:eastAsia="zh-CN"/>
        </w:rPr>
        <w:t>4</w:t>
      </w:r>
      <w:r>
        <w:rPr>
          <w:rFonts w:hint="eastAsia" w:ascii="宋体" w:hAnsi="宋体" w:cs="宋体"/>
          <w:sz w:val="24"/>
        </w:rPr>
        <w:t>名。污水站污水处理24小时运行，污水站必须保证有</w:t>
      </w:r>
      <w:r>
        <w:rPr>
          <w:rFonts w:hint="eastAsia" w:ascii="宋体" w:hAnsi="宋体" w:cs="宋体"/>
          <w:sz w:val="24"/>
          <w:lang w:val="en-US" w:eastAsia="zh-CN"/>
        </w:rPr>
        <w:t>1</w:t>
      </w:r>
      <w:r>
        <w:rPr>
          <w:rFonts w:hint="eastAsia" w:ascii="宋体" w:hAnsi="宋体" w:cs="宋体"/>
          <w:sz w:val="24"/>
        </w:rPr>
        <w:t>人值班。</w:t>
      </w:r>
    </w:p>
    <w:p w14:paraId="1146B8A5">
      <w:pPr>
        <w:spacing w:line="360" w:lineRule="auto"/>
        <w:ind w:firstLine="480" w:firstLineChars="200"/>
        <w:jc w:val="left"/>
        <w:rPr>
          <w:rFonts w:ascii="宋体" w:hAnsi="宋体" w:cs="宋体"/>
          <w:b/>
          <w:bCs/>
          <w:sz w:val="24"/>
        </w:rPr>
      </w:pPr>
      <w:r>
        <w:rPr>
          <w:rFonts w:hint="eastAsia" w:ascii="宋体" w:hAnsi="宋体" w:cs="宋体"/>
          <w:sz w:val="24"/>
        </w:rPr>
        <w:t>4.</w:t>
      </w:r>
      <w:r>
        <w:rPr>
          <w:rFonts w:hint="eastAsia" w:ascii="宋体" w:hAnsi="宋体" w:cs="宋体"/>
          <w:sz w:val="24"/>
          <w:lang w:val="en-US" w:eastAsia="zh-CN"/>
        </w:rPr>
        <w:t>2</w:t>
      </w:r>
      <w:r>
        <w:rPr>
          <w:rFonts w:hint="eastAsia" w:ascii="宋体" w:hAnsi="宋体" w:cs="宋体"/>
          <w:sz w:val="24"/>
        </w:rPr>
        <w:t>运营管理及操作人员应经过系统的岗前培训，熟悉环保相关法律法规知识及操作章程。对运营管理及操作人员建立定期考核和持续培训制度。</w:t>
      </w:r>
    </w:p>
    <w:p w14:paraId="2FF438BC">
      <w:pPr>
        <w:spacing w:line="360" w:lineRule="auto"/>
        <w:ind w:firstLine="480" w:firstLineChars="200"/>
        <w:jc w:val="left"/>
        <w:rPr>
          <w:rFonts w:ascii="宋体" w:hAnsi="宋体" w:cs="宋体"/>
          <w:b/>
          <w:bCs/>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 采购人有权撤销成交人不合格的项目负责人及相关工作人员，成交人并须及时更换和补充服务人员。</w:t>
      </w:r>
    </w:p>
    <w:p w14:paraId="6EE4E614">
      <w:pPr>
        <w:spacing w:line="360" w:lineRule="auto"/>
        <w:ind w:firstLine="480" w:firstLineChars="200"/>
        <w:jc w:val="left"/>
        <w:rPr>
          <w:rFonts w:hint="default" w:ascii="宋体" w:hAnsi="宋体" w:cs="宋体"/>
          <w:bCs/>
          <w:sz w:val="24"/>
          <w:szCs w:val="24"/>
        </w:rPr>
      </w:pPr>
      <w:r>
        <w:rPr>
          <w:rFonts w:hint="eastAsia" w:ascii="宋体" w:hAnsi="宋体" w:cs="宋体"/>
          <w:sz w:val="24"/>
          <w:lang w:val="en-US" w:eastAsia="zh-CN"/>
        </w:rPr>
        <w:t>5</w:t>
      </w:r>
      <w:r>
        <w:rPr>
          <w:rFonts w:hint="eastAsia" w:ascii="宋体" w:hAnsi="宋体" w:cs="宋体"/>
          <w:sz w:val="24"/>
        </w:rPr>
        <w:t>、</w:t>
      </w:r>
      <w:r>
        <w:rPr>
          <w:rFonts w:ascii="宋体" w:hAnsi="宋体" w:cs="宋体"/>
          <w:bCs/>
          <w:sz w:val="24"/>
          <w:szCs w:val="24"/>
        </w:rPr>
        <w:t>医院污水治理项目运维单位季度监督抽检明细表</w:t>
      </w:r>
    </w:p>
    <w:tbl>
      <w:tblPr>
        <w:tblStyle w:val="8"/>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44"/>
        <w:gridCol w:w="2472"/>
        <w:gridCol w:w="3557"/>
        <w:gridCol w:w="1250"/>
      </w:tblGrid>
      <w:tr w14:paraId="38B30B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20058FE1">
            <w:pPr>
              <w:pStyle w:val="11"/>
              <w:spacing w:after="150" w:line="360" w:lineRule="auto"/>
              <w:jc w:val="center"/>
              <w:rPr>
                <w:rFonts w:hint="default" w:ascii="宋体" w:hAnsi="宋体" w:cs="宋体"/>
                <w:bCs/>
                <w:sz w:val="24"/>
                <w:szCs w:val="24"/>
              </w:rPr>
            </w:pPr>
            <w:r>
              <w:rPr>
                <w:rFonts w:ascii="宋体" w:hAnsi="宋体" w:cs="宋体"/>
                <w:bCs/>
                <w:sz w:val="24"/>
                <w:szCs w:val="24"/>
              </w:rPr>
              <w:t>考核内容</w:t>
            </w:r>
          </w:p>
        </w:tc>
        <w:tc>
          <w:tcPr>
            <w:tcW w:w="1467" w:type="pct"/>
            <w:tcBorders>
              <w:top w:val="single" w:color="000000" w:sz="8" w:space="0"/>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4C9D6B8E">
            <w:pPr>
              <w:pStyle w:val="11"/>
              <w:spacing w:after="150" w:line="360" w:lineRule="auto"/>
              <w:jc w:val="center"/>
              <w:rPr>
                <w:rFonts w:hint="default" w:ascii="宋体" w:hAnsi="宋体" w:cs="宋体"/>
                <w:bCs/>
                <w:sz w:val="24"/>
                <w:szCs w:val="24"/>
              </w:rPr>
            </w:pPr>
            <w:r>
              <w:rPr>
                <w:rFonts w:ascii="宋体" w:hAnsi="宋体" w:cs="宋体"/>
                <w:bCs/>
                <w:sz w:val="24"/>
                <w:szCs w:val="24"/>
              </w:rPr>
              <w:t>目标要求</w:t>
            </w:r>
          </w:p>
        </w:tc>
        <w:tc>
          <w:tcPr>
            <w:tcW w:w="2110" w:type="pct"/>
            <w:tcBorders>
              <w:top w:val="single" w:color="000000" w:sz="8" w:space="0"/>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7EC48405">
            <w:pPr>
              <w:pStyle w:val="11"/>
              <w:spacing w:after="150" w:line="360" w:lineRule="auto"/>
              <w:jc w:val="center"/>
              <w:rPr>
                <w:rFonts w:hint="default" w:ascii="宋体" w:hAnsi="宋体" w:cs="宋体"/>
                <w:bCs/>
                <w:sz w:val="24"/>
                <w:szCs w:val="24"/>
              </w:rPr>
            </w:pPr>
            <w:r>
              <w:rPr>
                <w:rFonts w:ascii="宋体" w:hAnsi="宋体" w:cs="宋体"/>
                <w:bCs/>
                <w:sz w:val="24"/>
                <w:szCs w:val="24"/>
              </w:rPr>
              <w:t>抽检内容</w:t>
            </w:r>
          </w:p>
        </w:tc>
        <w:tc>
          <w:tcPr>
            <w:tcW w:w="742" w:type="pct"/>
            <w:tcBorders>
              <w:top w:val="single" w:color="000000" w:sz="8" w:space="0"/>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78139AD7">
            <w:pPr>
              <w:pStyle w:val="11"/>
              <w:spacing w:after="150" w:line="360" w:lineRule="auto"/>
              <w:jc w:val="center"/>
              <w:rPr>
                <w:rFonts w:hint="default" w:ascii="宋体" w:hAnsi="宋体" w:cs="宋体"/>
                <w:bCs/>
                <w:sz w:val="24"/>
                <w:szCs w:val="24"/>
              </w:rPr>
            </w:pPr>
            <w:r>
              <w:rPr>
                <w:rFonts w:ascii="宋体" w:hAnsi="宋体" w:cs="宋体"/>
                <w:bCs/>
                <w:sz w:val="24"/>
                <w:szCs w:val="24"/>
              </w:rPr>
              <w:t>存在问题</w:t>
            </w:r>
          </w:p>
        </w:tc>
      </w:tr>
      <w:tr w14:paraId="398675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4888E418">
            <w:pPr>
              <w:pStyle w:val="11"/>
              <w:spacing w:after="150" w:line="360" w:lineRule="auto"/>
              <w:rPr>
                <w:rFonts w:hint="default" w:ascii="宋体" w:hAnsi="宋体" w:cs="宋体"/>
                <w:bCs/>
                <w:sz w:val="24"/>
                <w:szCs w:val="24"/>
              </w:rPr>
            </w:pPr>
            <w:r>
              <w:rPr>
                <w:rFonts w:ascii="宋体" w:hAnsi="宋体" w:cs="宋体"/>
                <w:bCs/>
                <w:sz w:val="24"/>
                <w:szCs w:val="24"/>
              </w:rPr>
              <w:t>组织保障</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10C9EA23">
            <w:pPr>
              <w:pStyle w:val="11"/>
              <w:spacing w:after="150" w:line="360" w:lineRule="auto"/>
              <w:rPr>
                <w:rFonts w:hint="default" w:ascii="宋体" w:hAnsi="宋体" w:cs="宋体"/>
                <w:bCs/>
                <w:sz w:val="24"/>
                <w:szCs w:val="24"/>
              </w:rPr>
            </w:pPr>
            <w:r>
              <w:rPr>
                <w:rFonts w:ascii="宋体" w:hAnsi="宋体" w:cs="宋体"/>
                <w:bCs/>
                <w:sz w:val="24"/>
                <w:szCs w:val="24"/>
              </w:rPr>
              <w:t>运维工作站建设规范，具有较强的人员组织力量和完善的内部管理制度。</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7B7683D4">
            <w:pPr>
              <w:pStyle w:val="11"/>
              <w:spacing w:after="150" w:line="360" w:lineRule="auto"/>
              <w:rPr>
                <w:rFonts w:hint="default" w:ascii="宋体" w:hAnsi="宋体" w:cs="宋体"/>
                <w:bCs/>
                <w:sz w:val="24"/>
                <w:szCs w:val="24"/>
              </w:rPr>
            </w:pPr>
            <w:r>
              <w:rPr>
                <w:rFonts w:ascii="宋体" w:hAnsi="宋体" w:cs="宋体"/>
                <w:bCs/>
                <w:sz w:val="24"/>
                <w:szCs w:val="24"/>
              </w:rPr>
              <w:t>人员数量按职责要求配备到位且工作期间统一着装，亮证服务（</w:t>
            </w:r>
            <w:r>
              <w:rPr>
                <w:rFonts w:ascii="宋体" w:hAnsi="宋体" w:cs="宋体"/>
                <w:bCs/>
                <w:sz w:val="24"/>
                <w:szCs w:val="24"/>
                <w:lang w:eastAsia="zh-CN"/>
              </w:rPr>
              <w:t>成交</w:t>
            </w:r>
            <w:r>
              <w:rPr>
                <w:rFonts w:ascii="宋体" w:hAnsi="宋体" w:cs="宋体"/>
                <w:bCs/>
                <w:sz w:val="24"/>
                <w:szCs w:val="24"/>
              </w:rPr>
              <w:t>单位工作证），备品备件堆放规范；管理制度完善并上墙。</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2BE5EE67">
            <w:pPr>
              <w:pStyle w:val="11"/>
              <w:spacing w:line="360" w:lineRule="auto"/>
              <w:jc w:val="both"/>
              <w:rPr>
                <w:rFonts w:hint="default" w:ascii="宋体" w:hAnsi="宋体" w:cs="宋体"/>
                <w:bCs/>
                <w:sz w:val="24"/>
                <w:szCs w:val="24"/>
              </w:rPr>
            </w:pPr>
          </w:p>
        </w:tc>
      </w:tr>
      <w:tr w14:paraId="440A58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vMerge w:val="restar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40A20893">
            <w:pPr>
              <w:pStyle w:val="11"/>
              <w:spacing w:after="150" w:line="360" w:lineRule="auto"/>
              <w:rPr>
                <w:rFonts w:hint="default" w:ascii="宋体" w:hAnsi="宋体" w:cs="宋体"/>
                <w:bCs/>
                <w:sz w:val="24"/>
                <w:szCs w:val="24"/>
              </w:rPr>
            </w:pPr>
            <w:r>
              <w:rPr>
                <w:rFonts w:ascii="宋体" w:hAnsi="宋体" w:cs="宋体"/>
                <w:bCs/>
                <w:sz w:val="24"/>
                <w:szCs w:val="24"/>
              </w:rPr>
              <w:t>现场</w:t>
            </w:r>
          </w:p>
          <w:p w14:paraId="06ED2DC0">
            <w:pPr>
              <w:pStyle w:val="11"/>
              <w:spacing w:after="150" w:line="360" w:lineRule="auto"/>
              <w:rPr>
                <w:rFonts w:hint="default" w:ascii="宋体" w:hAnsi="宋体" w:cs="宋体"/>
                <w:bCs/>
                <w:sz w:val="24"/>
                <w:szCs w:val="24"/>
              </w:rPr>
            </w:pPr>
            <w:r>
              <w:rPr>
                <w:rFonts w:ascii="宋体" w:hAnsi="宋体" w:cs="宋体"/>
                <w:bCs/>
                <w:sz w:val="24"/>
                <w:szCs w:val="24"/>
              </w:rPr>
              <w:t>运维</w:t>
            </w:r>
          </w:p>
          <w:p w14:paraId="6B761333">
            <w:pPr>
              <w:pStyle w:val="11"/>
              <w:spacing w:after="150" w:line="360" w:lineRule="auto"/>
              <w:rPr>
                <w:rFonts w:hint="default" w:ascii="宋体" w:hAnsi="宋体" w:cs="宋体"/>
                <w:bCs/>
                <w:sz w:val="24"/>
                <w:szCs w:val="24"/>
              </w:rPr>
            </w:pPr>
            <w:r>
              <w:rPr>
                <w:rFonts w:ascii="宋体" w:hAnsi="宋体" w:cs="宋体"/>
                <w:bCs/>
                <w:sz w:val="24"/>
                <w:szCs w:val="24"/>
              </w:rPr>
              <w:t>质量</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204ECA01">
            <w:pPr>
              <w:pStyle w:val="11"/>
              <w:spacing w:after="150" w:line="360" w:lineRule="auto"/>
              <w:rPr>
                <w:rFonts w:hint="default" w:ascii="宋体" w:hAnsi="宋体" w:cs="宋体"/>
                <w:bCs/>
                <w:sz w:val="24"/>
                <w:szCs w:val="24"/>
              </w:rPr>
            </w:pPr>
            <w:r>
              <w:rPr>
                <w:rFonts w:ascii="宋体" w:hAnsi="宋体" w:cs="宋体"/>
                <w:bCs/>
                <w:sz w:val="24"/>
                <w:szCs w:val="24"/>
              </w:rPr>
              <w:t>定期检查井和污水管道系统是否出现破损堵塞，及时清理保持管道过流通畅。</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4B07E4D9">
            <w:pPr>
              <w:pStyle w:val="11"/>
              <w:spacing w:after="150" w:line="360" w:lineRule="auto"/>
              <w:rPr>
                <w:rFonts w:hint="default" w:ascii="宋体" w:hAnsi="宋体" w:cs="宋体"/>
                <w:bCs/>
                <w:sz w:val="24"/>
                <w:szCs w:val="24"/>
              </w:rPr>
            </w:pPr>
            <w:r>
              <w:rPr>
                <w:rFonts w:ascii="宋体" w:hAnsi="宋体" w:cs="宋体"/>
                <w:bCs/>
                <w:sz w:val="24"/>
                <w:szCs w:val="24"/>
              </w:rPr>
              <w:t>检查井淤积物较多污水管道未及时疏通造成污水外溢现象（某些人为因素如有道路、房屋施工等造成管道较严重堵塞的，或不可抗因素造成管道较严重堵塞，无法及时疏通应上报相关部门，根据实际情况处理。）</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06CD4F5C">
            <w:pPr>
              <w:pStyle w:val="11"/>
              <w:spacing w:line="360" w:lineRule="auto"/>
              <w:jc w:val="both"/>
              <w:rPr>
                <w:rFonts w:hint="default" w:ascii="宋体" w:hAnsi="宋体" w:cs="宋体"/>
                <w:bCs/>
                <w:sz w:val="24"/>
                <w:szCs w:val="24"/>
              </w:rPr>
            </w:pPr>
          </w:p>
        </w:tc>
      </w:tr>
      <w:tr w14:paraId="3AC502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vMerge w:val="continue"/>
            <w:tcBorders>
              <w:top w:val="nil"/>
              <w:left w:val="single" w:color="000000" w:sz="8" w:space="0"/>
              <w:bottom w:val="single" w:color="000000" w:sz="8" w:space="0"/>
              <w:right w:val="single" w:color="000000" w:sz="8" w:space="0"/>
            </w:tcBorders>
            <w:shd w:val="clear" w:color="auto" w:fill="auto"/>
            <w:noWrap w:val="0"/>
            <w:vAlign w:val="top"/>
          </w:tcPr>
          <w:p w14:paraId="37F473C5">
            <w:pPr>
              <w:spacing w:line="360" w:lineRule="auto"/>
              <w:rPr>
                <w:rFonts w:ascii="宋体" w:hAnsi="宋体" w:cs="宋体"/>
                <w:bCs/>
                <w:sz w:val="24"/>
              </w:rPr>
            </w:pP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1E4EAF42">
            <w:pPr>
              <w:pStyle w:val="11"/>
              <w:spacing w:after="150" w:line="360" w:lineRule="auto"/>
              <w:rPr>
                <w:rFonts w:hint="default" w:ascii="宋体" w:hAnsi="宋体" w:cs="宋体"/>
                <w:bCs/>
                <w:sz w:val="24"/>
                <w:szCs w:val="24"/>
              </w:rPr>
            </w:pPr>
            <w:r>
              <w:rPr>
                <w:rFonts w:ascii="宋体" w:hAnsi="宋体" w:cs="宋体"/>
                <w:bCs/>
                <w:sz w:val="24"/>
                <w:szCs w:val="24"/>
              </w:rPr>
              <w:t>定期清理格栅井及出水井，及时对集水井清淤以防止水泵堵塞。</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6FA8B51F">
            <w:pPr>
              <w:pStyle w:val="11"/>
              <w:spacing w:after="150" w:line="360" w:lineRule="auto"/>
              <w:rPr>
                <w:rFonts w:hint="default" w:ascii="宋体" w:hAnsi="宋体" w:cs="宋体"/>
                <w:bCs/>
                <w:sz w:val="24"/>
                <w:szCs w:val="24"/>
              </w:rPr>
            </w:pPr>
            <w:r>
              <w:rPr>
                <w:rFonts w:ascii="宋体" w:hAnsi="宋体" w:cs="宋体"/>
                <w:bCs/>
                <w:sz w:val="24"/>
                <w:szCs w:val="24"/>
              </w:rPr>
              <w:t>格栅井淤积物;出水井清理不及时；集水井清淤；池底淤泥堵塞水泵出现故障的。</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2F47B2C5">
            <w:pPr>
              <w:pStyle w:val="11"/>
              <w:spacing w:line="360" w:lineRule="auto"/>
              <w:jc w:val="both"/>
              <w:rPr>
                <w:rFonts w:hint="default" w:ascii="宋体" w:hAnsi="宋体" w:cs="宋体"/>
                <w:bCs/>
                <w:sz w:val="24"/>
                <w:szCs w:val="24"/>
              </w:rPr>
            </w:pPr>
          </w:p>
        </w:tc>
      </w:tr>
      <w:tr w14:paraId="235038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vMerge w:val="continue"/>
            <w:tcBorders>
              <w:top w:val="nil"/>
              <w:left w:val="single" w:color="000000" w:sz="8" w:space="0"/>
              <w:bottom w:val="single" w:color="000000" w:sz="8" w:space="0"/>
              <w:right w:val="single" w:color="000000" w:sz="8" w:space="0"/>
            </w:tcBorders>
            <w:shd w:val="clear" w:color="auto" w:fill="auto"/>
            <w:noWrap w:val="0"/>
            <w:vAlign w:val="top"/>
          </w:tcPr>
          <w:p w14:paraId="6EEAF962">
            <w:pPr>
              <w:spacing w:line="360" w:lineRule="auto"/>
              <w:rPr>
                <w:rFonts w:ascii="宋体" w:hAnsi="宋体" w:cs="宋体"/>
                <w:bCs/>
                <w:sz w:val="24"/>
              </w:rPr>
            </w:pP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556B0B00">
            <w:pPr>
              <w:pStyle w:val="11"/>
              <w:spacing w:after="150" w:line="360" w:lineRule="auto"/>
              <w:rPr>
                <w:rFonts w:hint="default" w:ascii="宋体" w:hAnsi="宋体" w:cs="宋体"/>
                <w:bCs/>
                <w:sz w:val="24"/>
                <w:szCs w:val="24"/>
              </w:rPr>
            </w:pPr>
            <w:r>
              <w:rPr>
                <w:rFonts w:ascii="宋体" w:hAnsi="宋体" w:cs="宋体"/>
                <w:bCs/>
                <w:sz w:val="24"/>
                <w:szCs w:val="24"/>
              </w:rPr>
              <w:t>定期检查并确保机电设备运行完好率和运行时间。</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1E188DEE">
            <w:pPr>
              <w:pStyle w:val="11"/>
              <w:spacing w:after="150" w:line="360" w:lineRule="auto"/>
              <w:rPr>
                <w:rFonts w:hint="default" w:ascii="宋体" w:hAnsi="宋体" w:cs="宋体"/>
                <w:bCs/>
                <w:sz w:val="24"/>
                <w:szCs w:val="24"/>
              </w:rPr>
            </w:pPr>
            <w:r>
              <w:rPr>
                <w:rFonts w:ascii="宋体" w:hAnsi="宋体" w:cs="宋体"/>
                <w:bCs/>
                <w:sz w:val="24"/>
                <w:szCs w:val="24"/>
              </w:rPr>
              <w:t>设备外观不整洁，出现腐蚀或渗漏（水下设备除外）；设备润滑油不充分；门锁、皮带等易损品维修更换不及时；电气设备存在安全隐患；仪器仪表准确灵敏度不佳；填料更换不及时或菌种出现死亡；设备运行不正常或未运行的。</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20A0F1EE">
            <w:pPr>
              <w:pStyle w:val="11"/>
              <w:spacing w:line="360" w:lineRule="auto"/>
              <w:jc w:val="both"/>
              <w:rPr>
                <w:rFonts w:hint="default" w:ascii="宋体" w:hAnsi="宋体" w:cs="宋体"/>
                <w:bCs/>
                <w:sz w:val="24"/>
                <w:szCs w:val="24"/>
              </w:rPr>
            </w:pPr>
          </w:p>
        </w:tc>
      </w:tr>
      <w:tr w14:paraId="06E23F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53EF593B">
            <w:pPr>
              <w:pStyle w:val="11"/>
              <w:spacing w:after="150" w:line="360" w:lineRule="auto"/>
              <w:rPr>
                <w:rFonts w:hint="default" w:ascii="宋体" w:hAnsi="宋体" w:cs="宋体"/>
                <w:bCs/>
                <w:sz w:val="24"/>
                <w:szCs w:val="24"/>
              </w:rPr>
            </w:pPr>
            <w:r>
              <w:rPr>
                <w:rFonts w:ascii="宋体" w:hAnsi="宋体" w:cs="宋体"/>
                <w:bCs/>
                <w:sz w:val="24"/>
                <w:szCs w:val="24"/>
              </w:rPr>
              <w:t>水质达标</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103FAEFD">
            <w:pPr>
              <w:pStyle w:val="11"/>
              <w:spacing w:after="150" w:line="360" w:lineRule="auto"/>
              <w:rPr>
                <w:rFonts w:hint="default" w:ascii="宋体" w:hAnsi="宋体" w:cs="宋体"/>
                <w:bCs/>
                <w:sz w:val="24"/>
                <w:szCs w:val="24"/>
              </w:rPr>
            </w:pPr>
            <w:r>
              <w:rPr>
                <w:rFonts w:ascii="宋体" w:hAnsi="宋体" w:cs="宋体"/>
                <w:bCs/>
                <w:sz w:val="24"/>
                <w:szCs w:val="24"/>
              </w:rPr>
              <w:t>出水水质达到《医疗机构水污染物排放标准》（GB18466-2005）预处理标准。</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21EA52FC">
            <w:pPr>
              <w:pStyle w:val="11"/>
              <w:spacing w:after="150" w:line="360" w:lineRule="auto"/>
              <w:rPr>
                <w:rFonts w:hint="default" w:ascii="宋体" w:hAnsi="宋体" w:cs="宋体"/>
                <w:bCs/>
                <w:sz w:val="24"/>
                <w:szCs w:val="24"/>
              </w:rPr>
            </w:pPr>
            <w:r>
              <w:rPr>
                <w:rFonts w:ascii="宋体" w:hAnsi="宋体" w:cs="宋体"/>
                <w:bCs/>
                <w:sz w:val="24"/>
                <w:szCs w:val="24"/>
              </w:rPr>
              <w:t>①设备停止运行或不正常运行</w:t>
            </w:r>
          </w:p>
          <w:p w14:paraId="3530A00A">
            <w:pPr>
              <w:pStyle w:val="11"/>
              <w:spacing w:after="150" w:line="360" w:lineRule="auto"/>
              <w:rPr>
                <w:rFonts w:hint="default" w:ascii="宋体" w:hAnsi="宋体" w:cs="宋体"/>
                <w:bCs/>
                <w:sz w:val="24"/>
                <w:szCs w:val="24"/>
              </w:rPr>
            </w:pPr>
            <w:r>
              <w:rPr>
                <w:rFonts w:ascii="宋体" w:hAnsi="宋体" w:cs="宋体"/>
                <w:bCs/>
                <w:sz w:val="24"/>
                <w:szCs w:val="24"/>
              </w:rPr>
              <w:t>②出水水质不达标</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573222C1">
            <w:pPr>
              <w:pStyle w:val="11"/>
              <w:spacing w:line="360" w:lineRule="auto"/>
              <w:jc w:val="both"/>
              <w:rPr>
                <w:rFonts w:hint="default" w:ascii="宋体" w:hAnsi="宋体" w:cs="宋体"/>
                <w:bCs/>
                <w:sz w:val="24"/>
                <w:szCs w:val="24"/>
              </w:rPr>
            </w:pPr>
          </w:p>
        </w:tc>
      </w:tr>
      <w:tr w14:paraId="6F29D4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40CADD59">
            <w:pPr>
              <w:pStyle w:val="11"/>
              <w:spacing w:after="150" w:line="360" w:lineRule="auto"/>
              <w:rPr>
                <w:rFonts w:hint="default" w:ascii="宋体" w:hAnsi="宋体" w:cs="宋体"/>
                <w:bCs/>
                <w:sz w:val="24"/>
                <w:szCs w:val="24"/>
              </w:rPr>
            </w:pPr>
            <w:r>
              <w:rPr>
                <w:rFonts w:ascii="宋体" w:hAnsi="宋体" w:cs="宋体"/>
                <w:bCs/>
                <w:sz w:val="24"/>
                <w:szCs w:val="24"/>
              </w:rPr>
              <w:t>污泥处理</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11C52B95">
            <w:pPr>
              <w:pStyle w:val="11"/>
              <w:spacing w:after="150" w:line="360" w:lineRule="auto"/>
              <w:rPr>
                <w:rFonts w:hint="default" w:ascii="宋体" w:hAnsi="宋体" w:cs="宋体"/>
                <w:bCs/>
                <w:sz w:val="24"/>
                <w:szCs w:val="24"/>
              </w:rPr>
            </w:pPr>
            <w:r>
              <w:rPr>
                <w:rFonts w:ascii="宋体" w:hAnsi="宋体" w:cs="宋体"/>
                <w:bCs/>
                <w:sz w:val="24"/>
                <w:szCs w:val="24"/>
              </w:rPr>
              <w:t>由甲方委托有资质单位对污泥规范化处置转运</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535252FD">
            <w:pPr>
              <w:pStyle w:val="11"/>
              <w:spacing w:after="150" w:line="360" w:lineRule="auto"/>
              <w:rPr>
                <w:rFonts w:hint="default" w:ascii="宋体" w:hAnsi="宋体" w:cs="宋体"/>
                <w:bCs/>
                <w:sz w:val="24"/>
                <w:szCs w:val="24"/>
              </w:rPr>
            </w:pPr>
            <w:r>
              <w:rPr>
                <w:rFonts w:ascii="宋体" w:hAnsi="宋体" w:cs="宋体"/>
                <w:bCs/>
                <w:sz w:val="24"/>
                <w:szCs w:val="24"/>
              </w:rPr>
              <w:t>对污泥不及时转运，乱堆存；处置单位转运不规范</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564EC554">
            <w:pPr>
              <w:pStyle w:val="11"/>
              <w:spacing w:line="360" w:lineRule="auto"/>
              <w:jc w:val="both"/>
              <w:rPr>
                <w:rFonts w:hint="default" w:ascii="宋体" w:hAnsi="宋体" w:cs="宋体"/>
                <w:bCs/>
                <w:sz w:val="24"/>
                <w:szCs w:val="24"/>
              </w:rPr>
            </w:pPr>
          </w:p>
        </w:tc>
      </w:tr>
      <w:tr w14:paraId="4CCA30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2D85968D">
            <w:pPr>
              <w:pStyle w:val="11"/>
              <w:spacing w:after="150" w:line="360" w:lineRule="auto"/>
              <w:rPr>
                <w:rFonts w:hint="default" w:ascii="宋体" w:hAnsi="宋体" w:cs="宋体"/>
                <w:bCs/>
                <w:sz w:val="24"/>
                <w:szCs w:val="24"/>
              </w:rPr>
            </w:pPr>
            <w:r>
              <w:rPr>
                <w:rFonts w:ascii="宋体" w:hAnsi="宋体" w:cs="宋体"/>
                <w:bCs/>
                <w:sz w:val="24"/>
                <w:szCs w:val="24"/>
              </w:rPr>
              <w:t>异常情况处理及报备</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5597423F">
            <w:pPr>
              <w:pStyle w:val="11"/>
              <w:spacing w:after="150" w:line="360" w:lineRule="auto"/>
              <w:rPr>
                <w:rFonts w:hint="default" w:ascii="宋体" w:hAnsi="宋体" w:cs="宋体"/>
                <w:bCs/>
                <w:sz w:val="24"/>
                <w:szCs w:val="24"/>
              </w:rPr>
            </w:pPr>
            <w:r>
              <w:rPr>
                <w:rFonts w:ascii="宋体" w:hAnsi="宋体" w:cs="宋体"/>
                <w:bCs/>
                <w:sz w:val="24"/>
                <w:szCs w:val="24"/>
              </w:rPr>
              <w:t>异常情况及时处理向业主及主管部门报备</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50C76935">
            <w:pPr>
              <w:pStyle w:val="11"/>
              <w:spacing w:after="150" w:line="360" w:lineRule="auto"/>
              <w:rPr>
                <w:rFonts w:hint="default" w:ascii="宋体" w:hAnsi="宋体" w:cs="宋体"/>
                <w:bCs/>
                <w:sz w:val="24"/>
                <w:szCs w:val="24"/>
              </w:rPr>
            </w:pPr>
            <w:r>
              <w:rPr>
                <w:rFonts w:ascii="宋体" w:hAnsi="宋体" w:cs="宋体"/>
                <w:bCs/>
                <w:sz w:val="24"/>
                <w:szCs w:val="24"/>
              </w:rPr>
              <w:t>异常情况要求3小时内响应并及时安排处置。对一般故障要求12小时内恢复并正常运行，对不易诊断或大型设备维修故障，要求在48小时内抢修恢复并正常运行。</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722E61C4">
            <w:pPr>
              <w:pStyle w:val="11"/>
              <w:spacing w:line="360" w:lineRule="auto"/>
              <w:jc w:val="both"/>
              <w:rPr>
                <w:rFonts w:hint="default" w:ascii="宋体" w:hAnsi="宋体" w:cs="宋体"/>
                <w:bCs/>
                <w:sz w:val="24"/>
                <w:szCs w:val="24"/>
              </w:rPr>
            </w:pPr>
          </w:p>
        </w:tc>
      </w:tr>
      <w:tr w14:paraId="1492FA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719CCB44">
            <w:pPr>
              <w:pStyle w:val="11"/>
              <w:spacing w:after="150" w:line="360" w:lineRule="auto"/>
              <w:rPr>
                <w:rFonts w:hint="default" w:ascii="宋体" w:hAnsi="宋体" w:cs="宋体"/>
                <w:bCs/>
                <w:sz w:val="24"/>
                <w:szCs w:val="24"/>
              </w:rPr>
            </w:pPr>
            <w:r>
              <w:rPr>
                <w:rFonts w:ascii="宋体" w:hAnsi="宋体" w:cs="宋体"/>
                <w:bCs/>
                <w:sz w:val="24"/>
                <w:szCs w:val="24"/>
              </w:rPr>
              <w:t>档案</w:t>
            </w:r>
          </w:p>
          <w:p w14:paraId="6F16C70C">
            <w:pPr>
              <w:pStyle w:val="11"/>
              <w:spacing w:after="150" w:line="360" w:lineRule="auto"/>
              <w:rPr>
                <w:rFonts w:hint="default" w:ascii="宋体" w:hAnsi="宋体" w:cs="宋体"/>
                <w:bCs/>
                <w:sz w:val="24"/>
                <w:szCs w:val="24"/>
              </w:rPr>
            </w:pPr>
            <w:r>
              <w:rPr>
                <w:rFonts w:ascii="宋体" w:hAnsi="宋体" w:cs="宋体"/>
                <w:bCs/>
                <w:sz w:val="24"/>
                <w:szCs w:val="24"/>
              </w:rPr>
              <w:t>资料</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080B9E10">
            <w:pPr>
              <w:pStyle w:val="11"/>
              <w:spacing w:after="150" w:line="360" w:lineRule="auto"/>
              <w:rPr>
                <w:rFonts w:hint="default" w:ascii="宋体" w:hAnsi="宋体" w:cs="宋体"/>
                <w:bCs/>
                <w:sz w:val="24"/>
                <w:szCs w:val="24"/>
              </w:rPr>
            </w:pPr>
            <w:r>
              <w:rPr>
                <w:rFonts w:ascii="宋体" w:hAnsi="宋体" w:cs="宋体"/>
                <w:bCs/>
                <w:sz w:val="24"/>
                <w:szCs w:val="24"/>
              </w:rPr>
              <w:t>按要求收集整理档案资料，做好各类材料报送工作</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1B6F9B46">
            <w:pPr>
              <w:pStyle w:val="11"/>
              <w:spacing w:after="150" w:line="360" w:lineRule="auto"/>
              <w:rPr>
                <w:rFonts w:hint="default" w:ascii="宋体" w:hAnsi="宋体" w:cs="宋体"/>
                <w:bCs/>
                <w:sz w:val="24"/>
                <w:szCs w:val="24"/>
              </w:rPr>
            </w:pPr>
            <w:r>
              <w:rPr>
                <w:rFonts w:ascii="宋体" w:hAnsi="宋体" w:cs="宋体"/>
                <w:bCs/>
                <w:sz w:val="24"/>
                <w:szCs w:val="24"/>
              </w:rPr>
              <w:t>资料完整、整理规范、保管科学</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56A5BCCB">
            <w:pPr>
              <w:pStyle w:val="11"/>
              <w:spacing w:line="360" w:lineRule="auto"/>
              <w:jc w:val="both"/>
              <w:rPr>
                <w:rFonts w:hint="default" w:ascii="宋体" w:hAnsi="宋体" w:cs="宋体"/>
                <w:bCs/>
                <w:sz w:val="24"/>
                <w:szCs w:val="24"/>
              </w:rPr>
            </w:pPr>
          </w:p>
        </w:tc>
      </w:tr>
      <w:tr w14:paraId="65ECF1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65EE9D59">
            <w:pPr>
              <w:pStyle w:val="11"/>
              <w:spacing w:after="150" w:line="360" w:lineRule="auto"/>
              <w:rPr>
                <w:rFonts w:hint="default" w:ascii="宋体" w:hAnsi="宋体" w:cs="宋体"/>
                <w:bCs/>
                <w:sz w:val="24"/>
                <w:szCs w:val="24"/>
              </w:rPr>
            </w:pPr>
            <w:r>
              <w:rPr>
                <w:rFonts w:ascii="宋体" w:hAnsi="宋体" w:cs="宋体"/>
                <w:bCs/>
                <w:sz w:val="24"/>
                <w:szCs w:val="24"/>
              </w:rPr>
              <w:t>服务态度</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5CCA742D">
            <w:pPr>
              <w:pStyle w:val="11"/>
              <w:spacing w:after="150" w:line="360" w:lineRule="auto"/>
              <w:rPr>
                <w:rFonts w:hint="default" w:ascii="宋体" w:hAnsi="宋体" w:cs="宋体"/>
                <w:bCs/>
                <w:sz w:val="24"/>
                <w:szCs w:val="24"/>
              </w:rPr>
            </w:pPr>
            <w:r>
              <w:rPr>
                <w:rFonts w:ascii="宋体" w:hAnsi="宋体" w:cs="宋体"/>
                <w:bCs/>
                <w:sz w:val="24"/>
                <w:szCs w:val="24"/>
              </w:rPr>
              <w:t>配合业主安排管理</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113F0324">
            <w:pPr>
              <w:pStyle w:val="11"/>
              <w:spacing w:after="150" w:line="360" w:lineRule="auto"/>
              <w:rPr>
                <w:rFonts w:hint="default" w:ascii="宋体" w:hAnsi="宋体" w:cs="宋体"/>
                <w:bCs/>
                <w:sz w:val="24"/>
                <w:szCs w:val="24"/>
              </w:rPr>
            </w:pPr>
            <w:r>
              <w:rPr>
                <w:rFonts w:ascii="宋体" w:hAnsi="宋体" w:cs="宋体"/>
                <w:bCs/>
                <w:sz w:val="24"/>
                <w:szCs w:val="24"/>
              </w:rPr>
              <w:t>配合业主管理，即时查看现场</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556E14B6">
            <w:pPr>
              <w:pStyle w:val="11"/>
              <w:spacing w:line="360" w:lineRule="auto"/>
              <w:jc w:val="both"/>
              <w:rPr>
                <w:rFonts w:hint="default" w:ascii="宋体" w:hAnsi="宋体" w:cs="宋体"/>
                <w:bCs/>
                <w:sz w:val="24"/>
                <w:szCs w:val="24"/>
              </w:rPr>
            </w:pPr>
          </w:p>
        </w:tc>
      </w:tr>
      <w:tr w14:paraId="792F36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77C591F6">
            <w:pPr>
              <w:pStyle w:val="11"/>
              <w:spacing w:after="150" w:line="360" w:lineRule="auto"/>
              <w:rPr>
                <w:rFonts w:hint="default" w:ascii="宋体" w:hAnsi="宋体" w:cs="宋体"/>
                <w:bCs/>
                <w:sz w:val="24"/>
                <w:szCs w:val="24"/>
              </w:rPr>
            </w:pPr>
            <w:r>
              <w:rPr>
                <w:rFonts w:ascii="宋体" w:hAnsi="宋体" w:cs="宋体"/>
                <w:bCs/>
                <w:sz w:val="24"/>
                <w:szCs w:val="24"/>
              </w:rPr>
              <w:t>否决项</w:t>
            </w:r>
          </w:p>
        </w:tc>
        <w:tc>
          <w:tcPr>
            <w:tcW w:w="3578" w:type="pct"/>
            <w:gridSpan w:val="2"/>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121167A6">
            <w:pPr>
              <w:pStyle w:val="11"/>
              <w:spacing w:after="150" w:line="360" w:lineRule="auto"/>
              <w:rPr>
                <w:rFonts w:hint="default" w:ascii="宋体" w:hAnsi="宋体" w:cs="宋体"/>
                <w:bCs/>
                <w:sz w:val="24"/>
                <w:szCs w:val="24"/>
              </w:rPr>
            </w:pPr>
            <w:r>
              <w:rPr>
                <w:rFonts w:ascii="宋体" w:hAnsi="宋体" w:cs="宋体"/>
                <w:bCs/>
                <w:sz w:val="24"/>
                <w:szCs w:val="24"/>
              </w:rPr>
              <w:t>1、发生群体性环境污染事件（不可抗逆因素除外）；2、发生死亡等安全生产事故。</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14:paraId="4C6FC474">
            <w:pPr>
              <w:pStyle w:val="11"/>
              <w:spacing w:line="360" w:lineRule="auto"/>
              <w:jc w:val="both"/>
              <w:rPr>
                <w:rFonts w:hint="default" w:ascii="宋体" w:hAnsi="宋体" w:cs="宋体"/>
                <w:bCs/>
                <w:sz w:val="24"/>
                <w:szCs w:val="24"/>
              </w:rPr>
            </w:pPr>
          </w:p>
        </w:tc>
      </w:tr>
    </w:tbl>
    <w:p w14:paraId="336583B3">
      <w:pPr>
        <w:pStyle w:val="11"/>
        <w:spacing w:line="360" w:lineRule="auto"/>
        <w:jc w:val="both"/>
        <w:rPr>
          <w:rFonts w:ascii="宋体" w:hAnsi="宋体" w:cs="宋体"/>
          <w:bCs/>
          <w:sz w:val="24"/>
          <w:szCs w:val="24"/>
          <w:lang w:eastAsia="zh-CN"/>
        </w:rPr>
      </w:pPr>
    </w:p>
    <w:p w14:paraId="7C0547A5">
      <w:pPr>
        <w:pStyle w:val="11"/>
        <w:spacing w:line="360" w:lineRule="auto"/>
        <w:jc w:val="both"/>
        <w:rPr>
          <w:rFonts w:ascii="宋体" w:hAnsi="宋体" w:cs="宋体"/>
          <w:bCs/>
          <w:sz w:val="24"/>
          <w:szCs w:val="24"/>
          <w:lang w:eastAsia="zh-CN"/>
        </w:rPr>
      </w:pPr>
    </w:p>
    <w:p w14:paraId="1289924A">
      <w:pPr>
        <w:pStyle w:val="11"/>
        <w:spacing w:line="360" w:lineRule="auto"/>
        <w:jc w:val="both"/>
        <w:rPr>
          <w:rFonts w:ascii="宋体" w:hAnsi="宋体" w:cs="宋体"/>
          <w:bCs/>
          <w:sz w:val="24"/>
          <w:szCs w:val="24"/>
          <w:lang w:eastAsia="zh-CN"/>
        </w:rPr>
      </w:pPr>
    </w:p>
    <w:p w14:paraId="5E0402B3">
      <w:pPr>
        <w:pStyle w:val="6"/>
        <w:numPr>
          <w:ilvl w:val="0"/>
          <w:numId w:val="0"/>
        </w:numPr>
        <w:spacing w:before="312" w:after="156"/>
        <w:jc w:val="center"/>
        <w:rPr>
          <w:rFonts w:hint="eastAsia" w:ascii="宋体" w:hAnsi="宋体" w:cs="宋体"/>
          <w:sz w:val="32"/>
          <w:szCs w:val="32"/>
          <w:lang w:val="en-US" w:eastAsia="zh-CN"/>
        </w:rPr>
      </w:pPr>
      <w:r>
        <w:rPr>
          <w:rFonts w:hint="eastAsia" w:ascii="宋体" w:hAnsi="宋体" w:cs="宋体"/>
          <w:sz w:val="32"/>
          <w:szCs w:val="32"/>
          <w:lang w:val="en-US" w:eastAsia="zh-CN"/>
        </w:rPr>
        <w:t>在线设备部分</w:t>
      </w:r>
    </w:p>
    <w:p w14:paraId="13F31AEC">
      <w:pPr>
        <w:pStyle w:val="7"/>
        <w:spacing w:before="75" w:beforeAutospacing="0" w:after="75" w:afterAutospacing="0" w:line="540" w:lineRule="atLeast"/>
        <w:ind w:firstLine="435"/>
        <w:rPr>
          <w:rFonts w:cs="宋体"/>
        </w:rPr>
      </w:pPr>
      <w:r>
        <w:rPr>
          <w:rFonts w:hint="eastAsia" w:cs="宋体"/>
        </w:rPr>
        <w:t>1.技术标准：</w:t>
      </w:r>
    </w:p>
    <w:p w14:paraId="447D9D20">
      <w:pPr>
        <w:pStyle w:val="7"/>
        <w:spacing w:before="75" w:beforeAutospacing="0" w:after="75" w:afterAutospacing="0" w:line="540" w:lineRule="atLeast"/>
        <w:ind w:firstLine="435"/>
        <w:rPr>
          <w:rFonts w:cs="宋体"/>
        </w:rPr>
      </w:pPr>
      <w:r>
        <w:rPr>
          <w:rFonts w:hint="eastAsia" w:cs="宋体"/>
        </w:rPr>
        <w:t>1.1《污染源在线自动监控（监测）系统数据传输标准》HJ/T 212-2005。</w:t>
      </w:r>
    </w:p>
    <w:p w14:paraId="7B641300">
      <w:pPr>
        <w:pStyle w:val="7"/>
        <w:spacing w:before="75" w:beforeAutospacing="0" w:after="75" w:afterAutospacing="0" w:line="540" w:lineRule="atLeast"/>
        <w:ind w:firstLine="435"/>
        <w:rPr>
          <w:rFonts w:cs="宋体"/>
        </w:rPr>
      </w:pPr>
      <w:r>
        <w:rPr>
          <w:rFonts w:hint="eastAsia" w:cs="宋体"/>
        </w:rPr>
        <w:t>1.2《环境污染源自动监控信息传输交换技术规范》HJ/T 352-2007。</w:t>
      </w:r>
    </w:p>
    <w:p w14:paraId="541AC1CF">
      <w:pPr>
        <w:pStyle w:val="7"/>
        <w:spacing w:before="75" w:beforeAutospacing="0" w:after="75" w:afterAutospacing="0" w:line="540" w:lineRule="atLeast"/>
        <w:ind w:firstLine="435"/>
        <w:rPr>
          <w:rFonts w:cs="宋体"/>
        </w:rPr>
      </w:pPr>
      <w:r>
        <w:rPr>
          <w:rFonts w:hint="eastAsia" w:cs="宋体"/>
        </w:rPr>
        <w:t>1.3《水污染源在线监测系统(CODCr、NH3-N 等)运行技术规范》HJ/T 355-2019。</w:t>
      </w:r>
    </w:p>
    <w:p w14:paraId="7D0CD397">
      <w:pPr>
        <w:pStyle w:val="7"/>
        <w:spacing w:before="75" w:beforeAutospacing="0" w:after="75" w:afterAutospacing="0" w:line="540" w:lineRule="atLeast"/>
        <w:ind w:firstLine="435"/>
        <w:rPr>
          <w:rFonts w:cs="宋体"/>
        </w:rPr>
      </w:pPr>
      <w:r>
        <w:rPr>
          <w:rFonts w:hint="eastAsia" w:cs="宋体"/>
        </w:rPr>
        <w:t>1.4</w:t>
      </w:r>
      <w:r>
        <w:rPr>
          <w:rFonts w:hint="eastAsia" w:cs="宋体"/>
          <w:lang w:val="en-US" w:eastAsia="zh-CN"/>
        </w:rPr>
        <w:t xml:space="preserve"> </w:t>
      </w:r>
      <w:r>
        <w:rPr>
          <w:rFonts w:hint="eastAsia" w:cs="宋体"/>
        </w:rPr>
        <w:t>《水污染源在线监测系统(CODCr、NH3-N等)数据有效性判别技术规范》HJ/T 356-2019。</w:t>
      </w:r>
    </w:p>
    <w:p w14:paraId="79D60576">
      <w:pPr>
        <w:pStyle w:val="7"/>
        <w:spacing w:before="75" w:beforeAutospacing="0" w:after="75" w:afterAutospacing="0" w:line="540" w:lineRule="atLeast"/>
        <w:ind w:firstLine="435"/>
        <w:rPr>
          <w:rFonts w:cs="宋体"/>
        </w:rPr>
      </w:pPr>
      <w:r>
        <w:rPr>
          <w:rFonts w:hint="eastAsia" w:cs="宋体"/>
        </w:rPr>
        <w:t>1.5《化学需氧量(CODCr)水质在线自动监测仪技术要求及检测方法》HJ/T 377-2019。</w:t>
      </w:r>
    </w:p>
    <w:p w14:paraId="710AC843">
      <w:pPr>
        <w:pStyle w:val="7"/>
        <w:spacing w:before="75" w:beforeAutospacing="0" w:after="75" w:afterAutospacing="0" w:line="540" w:lineRule="atLeast"/>
        <w:ind w:firstLine="435"/>
        <w:rPr>
          <w:rFonts w:cs="宋体"/>
        </w:rPr>
      </w:pPr>
      <w:r>
        <w:rPr>
          <w:rFonts w:hint="eastAsia" w:cs="宋体"/>
        </w:rPr>
        <w:t>1.6《污染源在线监控（监测）数据采集传输技术要求》HJ477-2009。</w:t>
      </w:r>
    </w:p>
    <w:p w14:paraId="2624678F">
      <w:pPr>
        <w:pStyle w:val="7"/>
        <w:spacing w:before="75" w:beforeAutospacing="0" w:after="75" w:afterAutospacing="0" w:line="540" w:lineRule="atLeast"/>
        <w:ind w:firstLine="435"/>
        <w:rPr>
          <w:rFonts w:cs="宋体"/>
        </w:rPr>
      </w:pPr>
      <w:r>
        <w:rPr>
          <w:rFonts w:hint="eastAsia" w:cs="宋体"/>
        </w:rPr>
        <w:t>上述规程规范如有更换修编以国家及相关部门最新规程规范及标准为准。</w:t>
      </w:r>
    </w:p>
    <w:p w14:paraId="696E8872">
      <w:pPr>
        <w:pStyle w:val="7"/>
        <w:spacing w:before="75" w:beforeAutospacing="0" w:after="75" w:afterAutospacing="0" w:line="540" w:lineRule="atLeast"/>
        <w:ind w:firstLine="435"/>
        <w:rPr>
          <w:rFonts w:cs="宋体"/>
        </w:rPr>
      </w:pPr>
      <w:r>
        <w:rPr>
          <w:rFonts w:hint="eastAsia" w:cs="宋体"/>
        </w:rPr>
        <w:t>2.主要服务内容及服务要求：</w:t>
      </w:r>
    </w:p>
    <w:p w14:paraId="4E748D00">
      <w:pPr>
        <w:pStyle w:val="7"/>
        <w:spacing w:before="75" w:beforeAutospacing="0" w:after="75" w:afterAutospacing="0" w:line="540" w:lineRule="atLeast"/>
        <w:ind w:firstLine="435"/>
        <w:rPr>
          <w:rFonts w:cs="宋体"/>
        </w:rPr>
      </w:pPr>
      <w:r>
        <w:rPr>
          <w:rFonts w:hint="eastAsia" w:cs="宋体"/>
        </w:rPr>
        <w:t>2.1按系统及各设备操作规范进行自动监控设施运维、操作、维护，确保自动监控设施正常运转率、数据联网率、传输有效率达到生态环境部门提出的要求。</w:t>
      </w:r>
    </w:p>
    <w:p w14:paraId="2B8707EB">
      <w:pPr>
        <w:pStyle w:val="7"/>
        <w:spacing w:before="75" w:beforeAutospacing="0" w:after="75" w:afterAutospacing="0" w:line="540" w:lineRule="atLeast"/>
        <w:ind w:firstLine="435"/>
        <w:rPr>
          <w:rFonts w:cs="宋体"/>
        </w:rPr>
      </w:pPr>
      <w:r>
        <w:rPr>
          <w:rFonts w:hint="eastAsia" w:cs="宋体"/>
        </w:rPr>
        <w:t>2.2按照生态环境部门要求开展运行维护各项工作，包括但不限于以下要求：</w:t>
      </w:r>
    </w:p>
    <w:p w14:paraId="2B1A370A">
      <w:pPr>
        <w:pStyle w:val="7"/>
        <w:spacing w:before="75" w:beforeAutospacing="0" w:after="75" w:afterAutospacing="0" w:line="540" w:lineRule="atLeast"/>
        <w:ind w:firstLine="435"/>
        <w:rPr>
          <w:rFonts w:cs="宋体"/>
        </w:rPr>
      </w:pPr>
      <w:r>
        <w:rPr>
          <w:rFonts w:hint="eastAsia" w:cs="宋体"/>
        </w:rPr>
        <w:t>2.2.1远程监控诊断服务（1次/日)，每日由运维管理平台自动轮巡监控数据及设备运行状态，每天应通过远程查看数据或现场察看的方式检查仪器运行状态、数据传输系统以及视频监控系统是否正常，并判断水污染源在线监测系统运行是否正常。如发现数据有持续异常等情况，应前往站点检查。</w:t>
      </w:r>
    </w:p>
    <w:p w14:paraId="7124066A">
      <w:pPr>
        <w:pStyle w:val="7"/>
        <w:spacing w:before="75" w:beforeAutospacing="0" w:after="75" w:afterAutospacing="0" w:line="540" w:lineRule="atLeast"/>
        <w:ind w:firstLine="435"/>
        <w:rPr>
          <w:rFonts w:cs="宋体"/>
        </w:rPr>
      </w:pPr>
      <w:r>
        <w:rPr>
          <w:rFonts w:hint="eastAsia" w:cs="宋体"/>
        </w:rPr>
        <w:t>2.2.2定期巡检服务（1次/周）：检查各台自动分析仪及辅助设备的运行状态和主要技术参数，判断运行是否正常；检查自来水供应、采样泵情况，检查内部管路是否通畅，仪器自动清洗装置是否运行正常，检查各自动分析仪的进水管和排水管是否清洁，清洗水泵和过滤网；检查站房内的电路系统、通讯系统是否正常；检查各仪器标准溶液和试剂是否在有效期内，按相关要求定期更换标准溶液和分析试剂；检查数据采集仪运行情况，对数据进行抽样检查，对比自动分析仪、数据采集仪及上位机接受到的数据是否一致；进行一次人工零点和量程校正，用质控样或标准溶液（标样浓度应与被测废水浓度相匹配）进行一次标样溶液核查；对超标留样装置运行情况进行检查校对，清理过期水样并填写记录；检查站房外部管线完整性、测流装置安装运行情况、明渠排污口标尺及堰板安装情况，检查堰板下游是否存在高于堰板最低点水痕。</w:t>
      </w:r>
    </w:p>
    <w:p w14:paraId="617B17D3">
      <w:pPr>
        <w:pStyle w:val="7"/>
        <w:spacing w:before="75" w:beforeAutospacing="0" w:after="75" w:afterAutospacing="0" w:line="540" w:lineRule="atLeast"/>
        <w:ind w:firstLine="435"/>
        <w:rPr>
          <w:rFonts w:cs="宋体"/>
        </w:rPr>
      </w:pPr>
      <w:r>
        <w:rPr>
          <w:rFonts w:hint="eastAsia" w:cs="宋体"/>
        </w:rPr>
        <w:t>2.2.3定期维护服务（1次/月）：对pH水质分析仪用酸液清洗一次电极，检查pH电极是否钝化；检查水质分析仪内部试管是否污染，必要时进行清洗；对仪器管路进行保养、清洁；对监控设施进行保养，对水泵和取水管路、配水和进水系统、仪器分析系统进行维护；检查仪器接地情况，检查站房防雷措施；至少进行一次实际水样比对试验和质控样试验（月校验）。</w:t>
      </w:r>
    </w:p>
    <w:p w14:paraId="7B17764A">
      <w:pPr>
        <w:pStyle w:val="7"/>
        <w:spacing w:before="75" w:beforeAutospacing="0" w:after="75" w:afterAutospacing="0" w:line="540" w:lineRule="atLeast"/>
        <w:ind w:firstLine="435"/>
        <w:rPr>
          <w:rFonts w:cs="宋体"/>
        </w:rPr>
      </w:pPr>
      <w:r>
        <w:rPr>
          <w:rFonts w:hint="eastAsia" w:cs="宋体"/>
        </w:rPr>
        <w:t>2.2.4定期维护服务（1次/季）：至少检查一次水质分析仪水样导管、排水导管、活塞和密闭圈，必要时进行更换。</w:t>
      </w:r>
    </w:p>
    <w:p w14:paraId="4E1E7C7A">
      <w:pPr>
        <w:pStyle w:val="7"/>
        <w:spacing w:before="75" w:beforeAutospacing="0" w:after="75" w:afterAutospacing="0" w:line="540" w:lineRule="atLeast"/>
        <w:ind w:firstLine="435"/>
        <w:rPr>
          <w:rFonts w:cs="宋体"/>
        </w:rPr>
      </w:pPr>
      <w:r>
        <w:rPr>
          <w:rFonts w:hint="eastAsia" w:cs="宋体"/>
        </w:rPr>
        <w:t>2.2.5整体维护：a、仪器废液、废酸等危险废弃物应按规范集中收集储存并委托有资质的单位按规定处置（处置费用由采购人负责）；b、通过设备巡检维护，降低故障几率，平均运转率达到95%以上。</w:t>
      </w:r>
    </w:p>
    <w:p w14:paraId="3532BD79">
      <w:pPr>
        <w:pStyle w:val="7"/>
        <w:spacing w:before="75" w:beforeAutospacing="0" w:after="75" w:afterAutospacing="0" w:line="540" w:lineRule="atLeast"/>
        <w:ind w:firstLine="435"/>
        <w:rPr>
          <w:rFonts w:cs="宋体"/>
        </w:rPr>
      </w:pPr>
      <w:r>
        <w:rPr>
          <w:rFonts w:hint="eastAsia" w:cs="宋体"/>
        </w:rPr>
        <w:t>2.2.6设备故障维护服务：a. 安排人员进行数据调阅，发现数据异常和设备报警情况应立即启动诊断程序，确定设备故障应通知技术人员启动设备应急处置机制，设备正常应保存完整的佐证材料，并配合生态环境部门对排污单位提起的异常数据异议进行复核。b.加强与排污单位的联系，提前做好设施停用、启用、拆除等情况的前期准备工作，并及时向生态环境部门进行报告；c.在规定时限完成数据处理、报备事项凭证上传，配合生态环境部门进行数据审核，平均数据传输有效率达到95%以上。</w:t>
      </w:r>
    </w:p>
    <w:p w14:paraId="0B008687">
      <w:pPr>
        <w:pStyle w:val="7"/>
        <w:spacing w:before="75" w:beforeAutospacing="0" w:after="75" w:afterAutospacing="0" w:line="540" w:lineRule="atLeast"/>
        <w:ind w:firstLine="435"/>
        <w:rPr>
          <w:rFonts w:cs="宋体"/>
        </w:rPr>
      </w:pPr>
      <w:r>
        <w:rPr>
          <w:rFonts w:hint="eastAsia" w:cs="宋体"/>
        </w:rPr>
        <w:t>2.2.7数据传输：a.数据采集传输必须与国家、省污染源自动监控平台兼容，能够满足设备反控及相关运维管理信息传输的要求。b.当数据采集传输因通讯中断造成漏发时，能够以自动及人工请求等方式补发特定时段数据。c.对数采仪、传输线路进行维护，故障时按规定及时维修或进行整机（配件）更换。</w:t>
      </w:r>
    </w:p>
    <w:p w14:paraId="6054B9C2">
      <w:pPr>
        <w:pStyle w:val="7"/>
        <w:spacing w:before="75" w:beforeAutospacing="0" w:after="75" w:afterAutospacing="0" w:line="540" w:lineRule="atLeast"/>
        <w:ind w:firstLine="435"/>
        <w:rPr>
          <w:rFonts w:cs="宋体"/>
        </w:rPr>
      </w:pPr>
      <w:r>
        <w:rPr>
          <w:rFonts w:hint="eastAsia" w:cs="宋体"/>
        </w:rPr>
        <w:t>2.2.8 提交相关技术档案：</w:t>
      </w:r>
    </w:p>
    <w:p w14:paraId="4966E9FA">
      <w:pPr>
        <w:pStyle w:val="7"/>
        <w:spacing w:before="75" w:beforeAutospacing="0" w:after="75" w:afterAutospacing="0" w:line="540" w:lineRule="atLeast"/>
        <w:ind w:firstLine="435"/>
        <w:rPr>
          <w:rFonts w:cs="宋体"/>
        </w:rPr>
      </w:pPr>
      <w:r>
        <w:rPr>
          <w:rFonts w:hint="eastAsia" w:cs="宋体"/>
        </w:rPr>
        <w:t>a. 建立完整的运维台账并报排污单位指定人员（公示于自动监控站房）签字确认，包括：自动监控仪器运行维护日常巡检表、自动监控仪器校准记录表、自动监控仪器校验记录表、自动监控仪器状况表、自动监控仪器维修记录表、标准溶液核查结果记录表、零点漂移/量程漂移/重现性记录、废液转移联单记录、易耗品更换记录、超标留样清理记录等；</w:t>
      </w:r>
    </w:p>
    <w:p w14:paraId="5D4E472F">
      <w:pPr>
        <w:pStyle w:val="7"/>
        <w:spacing w:before="75" w:beforeAutospacing="0" w:after="75" w:afterAutospacing="0" w:line="540" w:lineRule="atLeast"/>
        <w:ind w:firstLine="435"/>
        <w:rPr>
          <w:rFonts w:cs="宋体"/>
        </w:rPr>
      </w:pPr>
      <w:r>
        <w:rPr>
          <w:rFonts w:hint="eastAsia" w:cs="宋体"/>
        </w:rPr>
        <w:t>b.接</w:t>
      </w:r>
      <w:r>
        <w:rPr>
          <w:rFonts w:hint="eastAsia" w:cs="宋体"/>
          <w:color w:val="auto"/>
        </w:rPr>
        <w:t>收由采购人提供的</w:t>
      </w:r>
      <w:r>
        <w:rPr>
          <w:rFonts w:hint="eastAsia" w:cs="宋体"/>
        </w:rPr>
        <w:t>的验收台账及当年运维记录，进一步按规范或招标方的要求补充完善，运维结束后完整移交设备接收单位；</w:t>
      </w:r>
    </w:p>
    <w:p w14:paraId="348A29C7">
      <w:pPr>
        <w:pStyle w:val="7"/>
        <w:spacing w:before="75" w:beforeAutospacing="0" w:after="75" w:afterAutospacing="0" w:line="540" w:lineRule="atLeast"/>
        <w:ind w:firstLine="435"/>
        <w:rPr>
          <w:rFonts w:cs="宋体"/>
        </w:rPr>
      </w:pPr>
      <w:r>
        <w:rPr>
          <w:rFonts w:hint="eastAsia" w:cs="宋体"/>
        </w:rPr>
        <w:t>c. 每月前 5 日向生态环境主管部门报送上个月设备运转月度情况报告（含设备异常情况及故障期间监测数据）、各排污单位排污报表（含小时数据报表、超标数据标识、运维点位故障小时数、故障次数）；</w:t>
      </w:r>
    </w:p>
    <w:p w14:paraId="06F44C14">
      <w:pPr>
        <w:pStyle w:val="7"/>
        <w:spacing w:before="75" w:beforeAutospacing="0" w:after="75" w:afterAutospacing="0" w:line="540" w:lineRule="atLeast"/>
        <w:ind w:firstLine="435"/>
        <w:rPr>
          <w:rFonts w:cs="宋体"/>
        </w:rPr>
      </w:pPr>
      <w:r>
        <w:rPr>
          <w:rFonts w:hint="eastAsia" w:cs="宋体"/>
        </w:rPr>
        <w:t>d. 巡检维护记录应包括检查项目、检查日期、被检项目的运行状态等，每次巡检应记录、归档、备查，同时进行电子化管理。</w:t>
      </w:r>
    </w:p>
    <w:p w14:paraId="43576DDE">
      <w:pPr>
        <w:pStyle w:val="7"/>
        <w:spacing w:before="75" w:beforeAutospacing="0" w:after="75" w:afterAutospacing="0" w:line="540" w:lineRule="atLeast"/>
        <w:ind w:firstLine="435"/>
        <w:rPr>
          <w:rFonts w:cs="宋体"/>
        </w:rPr>
      </w:pPr>
      <w:r>
        <w:rPr>
          <w:rFonts w:hint="eastAsia" w:cs="宋体"/>
        </w:rPr>
        <w:t>3其他补充说明</w:t>
      </w:r>
    </w:p>
    <w:p w14:paraId="38C5D9A2">
      <w:pPr>
        <w:pStyle w:val="7"/>
        <w:spacing w:before="75" w:beforeAutospacing="0" w:after="75" w:afterAutospacing="0" w:line="540" w:lineRule="atLeast"/>
        <w:ind w:firstLine="435"/>
        <w:rPr>
          <w:rFonts w:cs="宋体"/>
        </w:rPr>
      </w:pPr>
      <w:r>
        <w:rPr>
          <w:rFonts w:hint="eastAsia" w:cs="宋体"/>
        </w:rPr>
        <w:t>3.1保密制度</w:t>
      </w:r>
    </w:p>
    <w:p w14:paraId="1143F475">
      <w:pPr>
        <w:pStyle w:val="7"/>
        <w:spacing w:before="75" w:beforeAutospacing="0" w:after="75" w:afterAutospacing="0" w:line="540" w:lineRule="atLeast"/>
        <w:ind w:firstLine="435"/>
        <w:rPr>
          <w:rFonts w:cs="宋体"/>
        </w:rPr>
      </w:pPr>
      <w:r>
        <w:rPr>
          <w:rFonts w:hint="eastAsia" w:cs="宋体"/>
        </w:rPr>
        <w:t>成交人要制定严格的保密措施，避免出现企业相关信息的泄漏，防止侵权事件发生。不论何时，成交人都应承担监测数据的保密责任。成交人按照采购人的要求，进行报告和传输有关的监测数据，均不得向外界传递任何监测数据。</w:t>
      </w:r>
    </w:p>
    <w:p w14:paraId="4A29CC36">
      <w:pPr>
        <w:pStyle w:val="7"/>
        <w:spacing w:before="75" w:beforeAutospacing="0" w:after="75" w:afterAutospacing="0" w:line="540" w:lineRule="atLeast"/>
        <w:ind w:firstLine="435"/>
        <w:rPr>
          <w:rFonts w:cs="宋体"/>
        </w:rPr>
      </w:pPr>
      <w:r>
        <w:rPr>
          <w:rFonts w:hint="eastAsia" w:cs="宋体"/>
        </w:rPr>
        <w:t>3.2管理要求</w:t>
      </w:r>
    </w:p>
    <w:p w14:paraId="034B690F">
      <w:pPr>
        <w:pStyle w:val="7"/>
        <w:spacing w:before="75" w:beforeAutospacing="0" w:after="75" w:afterAutospacing="0" w:line="540" w:lineRule="atLeast"/>
        <w:ind w:firstLine="435"/>
        <w:rPr>
          <w:rFonts w:cs="宋体"/>
        </w:rPr>
      </w:pPr>
      <w:r>
        <w:rPr>
          <w:rFonts w:hint="eastAsia" w:cs="宋体"/>
        </w:rPr>
        <w:t>①在委托管理期间，成交人拥有管理自主权，但没有对外经营权。未经采购人同意，成交人不得利用本项目的所有资料对外开展技术交流、业务联系、数据交换等。</w:t>
      </w:r>
    </w:p>
    <w:p w14:paraId="68962A92">
      <w:pPr>
        <w:pStyle w:val="7"/>
        <w:spacing w:before="75" w:beforeAutospacing="0" w:after="75" w:afterAutospacing="0" w:line="540" w:lineRule="atLeast"/>
        <w:ind w:firstLine="435"/>
        <w:rPr>
          <w:rFonts w:cs="宋体"/>
        </w:rPr>
      </w:pPr>
      <w:r>
        <w:rPr>
          <w:rFonts w:hint="eastAsia" w:cs="宋体"/>
        </w:rPr>
        <w:t>②在委托管理期间，成交人应承担安全、消防等所有生产责任（不可抗力因素除外）。成交人应按安全生产有关规定，建立安全生产制度，切实消除安全隐患。</w:t>
      </w:r>
    </w:p>
    <w:p w14:paraId="42CC3B6A">
      <w:pPr>
        <w:pStyle w:val="7"/>
        <w:spacing w:before="75" w:beforeAutospacing="0" w:after="75" w:afterAutospacing="0" w:line="540" w:lineRule="atLeast"/>
        <w:ind w:firstLine="435"/>
        <w:rPr>
          <w:rFonts w:cs="宋体"/>
          <w:highlight w:val="none"/>
        </w:rPr>
      </w:pPr>
      <w:r>
        <w:rPr>
          <w:rFonts w:hint="eastAsia" w:cs="宋体"/>
          <w:highlight w:val="none"/>
        </w:rPr>
        <w:t>③在委托管理期间，影响系统运行的故障，成交人应在发现故障或收到故障报告之时起0.5小时内响应，2小时内到达现场，并在到达现场后4小时能维修完成。未在2小时内派人到达现场修理，采购人可委托其它单位或人员修理，所发生的费用从合同总价款中扣除。成交人连续2次未能履行维修责任，采购人可单方面中止协议，并扣除未支付合同价款及履约保证金，且中标人须赔偿由此给采购人造成的损失。</w:t>
      </w:r>
    </w:p>
    <w:p w14:paraId="001EA825">
      <w:pPr>
        <w:pStyle w:val="7"/>
        <w:spacing w:before="75" w:beforeAutospacing="0" w:after="75" w:afterAutospacing="0" w:line="540" w:lineRule="atLeast"/>
        <w:ind w:firstLine="435"/>
        <w:rPr>
          <w:rFonts w:cs="宋体"/>
        </w:rPr>
      </w:pPr>
      <w:r>
        <w:rPr>
          <w:rFonts w:hint="eastAsia" w:cs="宋体"/>
        </w:rPr>
        <w:t>3.3交接要求</w:t>
      </w:r>
    </w:p>
    <w:p w14:paraId="7A22878C">
      <w:pPr>
        <w:pStyle w:val="7"/>
        <w:spacing w:before="75" w:beforeAutospacing="0" w:after="75" w:afterAutospacing="0" w:line="540" w:lineRule="atLeast"/>
        <w:ind w:firstLine="435"/>
        <w:rPr>
          <w:rFonts w:cs="宋体"/>
        </w:rPr>
      </w:pPr>
      <w:r>
        <w:rPr>
          <w:rFonts w:hint="eastAsia" w:cs="宋体"/>
        </w:rPr>
        <w:t>①制作设备移交清单并办理交接手续，成交人应确保正式交接前设备的正常运行和维护。</w:t>
      </w:r>
    </w:p>
    <w:p w14:paraId="0B50BFE0">
      <w:pPr>
        <w:pStyle w:val="7"/>
        <w:spacing w:before="75" w:beforeAutospacing="0" w:after="75" w:afterAutospacing="0" w:line="540" w:lineRule="atLeast"/>
        <w:ind w:firstLine="435"/>
        <w:rPr>
          <w:rFonts w:cs="宋体"/>
        </w:rPr>
      </w:pPr>
      <w:r>
        <w:rPr>
          <w:rFonts w:hint="eastAsia" w:cs="宋体"/>
        </w:rPr>
        <w:t>②在办理设备交接手续后，统一编制交接报告报送采购人，并根据监控运营合同及承诺提供相应服务。</w:t>
      </w:r>
    </w:p>
    <w:p w14:paraId="6F398EBA">
      <w:pPr>
        <w:pStyle w:val="7"/>
        <w:spacing w:before="75" w:beforeAutospacing="0" w:after="75" w:afterAutospacing="0" w:line="540" w:lineRule="atLeast"/>
        <w:ind w:firstLine="435"/>
        <w:rPr>
          <w:rFonts w:cs="宋体"/>
        </w:rPr>
      </w:pPr>
      <w:r>
        <w:rPr>
          <w:rFonts w:hint="eastAsia" w:cs="宋体"/>
        </w:rPr>
        <w:t>③监控运营服务期结束后，成交人保证自动监控设备及配套设施运转良好，并做好与新的运维服务成交人设备交接工作。</w:t>
      </w:r>
    </w:p>
    <w:p w14:paraId="5A9EBA65">
      <w:pPr>
        <w:pStyle w:val="7"/>
        <w:spacing w:before="75" w:beforeAutospacing="0" w:after="75" w:afterAutospacing="0" w:line="540" w:lineRule="atLeast"/>
        <w:ind w:firstLine="435"/>
        <w:rPr>
          <w:rFonts w:cs="宋体"/>
        </w:rPr>
      </w:pPr>
      <w:r>
        <w:rPr>
          <w:rFonts w:hint="eastAsia" w:cs="宋体"/>
        </w:rPr>
        <w:t>3.4保障措施</w:t>
      </w:r>
    </w:p>
    <w:p w14:paraId="10C30D38">
      <w:pPr>
        <w:pStyle w:val="7"/>
        <w:spacing w:before="75" w:beforeAutospacing="0" w:after="75" w:afterAutospacing="0" w:line="540" w:lineRule="atLeast"/>
        <w:ind w:firstLine="435"/>
        <w:rPr>
          <w:rFonts w:cs="宋体"/>
        </w:rPr>
      </w:pPr>
      <w:r>
        <w:rPr>
          <w:rFonts w:hint="eastAsia" w:cs="宋体"/>
        </w:rPr>
        <w:t>3.4.1为保障运维项目顺利实施，供应商拟投入本项目技术支撑团队人员不少于5人，其中1人为本项目的项目负责人。</w:t>
      </w:r>
    </w:p>
    <w:p w14:paraId="2D103D7B">
      <w:pPr>
        <w:pStyle w:val="7"/>
        <w:spacing w:before="75" w:beforeAutospacing="0" w:after="75" w:afterAutospacing="0" w:line="540" w:lineRule="atLeast"/>
        <w:ind w:firstLine="435"/>
        <w:rPr>
          <w:rFonts w:cs="宋体"/>
        </w:rPr>
      </w:pPr>
      <w:r>
        <w:rPr>
          <w:rFonts w:hint="eastAsia" w:cs="宋体"/>
          <w:color w:val="auto"/>
        </w:rPr>
        <w:t>3.4.4成交后应根据本项目需求配备足够车辆</w:t>
      </w:r>
      <w:r>
        <w:rPr>
          <w:rFonts w:hint="eastAsia" w:cs="宋体"/>
          <w:color w:val="auto"/>
          <w:lang w:eastAsia="zh-CN"/>
        </w:rPr>
        <w:t>，</w:t>
      </w:r>
      <w:r>
        <w:rPr>
          <w:rFonts w:hint="eastAsia" w:cs="宋体"/>
          <w:color w:val="auto"/>
          <w:lang w:val="en-US" w:eastAsia="zh-CN"/>
        </w:rPr>
        <w:t>以保证项目正常运行</w:t>
      </w:r>
      <w:r>
        <w:rPr>
          <w:rFonts w:hint="eastAsia" w:cs="宋体"/>
          <w:color w:val="auto"/>
        </w:rPr>
        <w:t>。</w:t>
      </w:r>
    </w:p>
    <w:p w14:paraId="1371B46C">
      <w:pPr>
        <w:pStyle w:val="7"/>
        <w:rPr>
          <w:rFonts w:cs="宋体"/>
          <w:color w:val="393939"/>
          <w:shd w:val="clear" w:color="auto" w:fill="FFFFFF"/>
        </w:rPr>
      </w:pPr>
      <w:r>
        <w:rPr>
          <w:rFonts w:hint="eastAsia" w:cs="宋体"/>
          <w:color w:val="393939"/>
          <w:shd w:val="clear" w:color="auto" w:fill="FFFFFF"/>
        </w:rPr>
        <w:t>4、</w:t>
      </w:r>
      <w:r>
        <w:rPr>
          <w:rStyle w:val="10"/>
          <w:rFonts w:hint="eastAsia" w:cs="宋体"/>
          <w:b w:val="0"/>
          <w:bCs w:val="0"/>
        </w:rPr>
        <w:t>采购人</w:t>
      </w:r>
      <w:r>
        <w:rPr>
          <w:rFonts w:hint="eastAsia" w:cs="宋体"/>
          <w:shd w:val="clear" w:color="auto" w:fill="FFFFFF"/>
        </w:rPr>
        <w:t>在</w:t>
      </w:r>
      <w:r>
        <w:rPr>
          <w:rFonts w:hint="eastAsia" w:cs="宋体"/>
          <w:color w:val="393939"/>
          <w:shd w:val="clear" w:color="auto" w:fill="FFFFFF"/>
        </w:rPr>
        <w:t>线监测设备清单。</w:t>
      </w:r>
    </w:p>
    <w:tbl>
      <w:tblPr>
        <w:tblStyle w:val="8"/>
        <w:tblW w:w="4998" w:type="pct"/>
        <w:tblInd w:w="0" w:type="dxa"/>
        <w:tblLayout w:type="autofit"/>
        <w:tblCellMar>
          <w:top w:w="0" w:type="dxa"/>
          <w:left w:w="108" w:type="dxa"/>
          <w:bottom w:w="0" w:type="dxa"/>
          <w:right w:w="108" w:type="dxa"/>
        </w:tblCellMar>
      </w:tblPr>
      <w:tblGrid>
        <w:gridCol w:w="842"/>
        <w:gridCol w:w="1300"/>
        <w:gridCol w:w="4876"/>
        <w:gridCol w:w="1501"/>
      </w:tblGrid>
      <w:tr w14:paraId="072940EC">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F3F6">
            <w:pPr>
              <w:widowControl/>
              <w:spacing w:line="440" w:lineRule="exact"/>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FBD3D">
            <w:pPr>
              <w:widowControl/>
              <w:spacing w:line="44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类别</w:t>
            </w: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005C">
            <w:pPr>
              <w:widowControl/>
              <w:spacing w:line="44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产品名称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7D78">
            <w:pPr>
              <w:widowControl/>
              <w:spacing w:line="44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r>
      <w:tr w14:paraId="02B24238">
        <w:tblPrEx>
          <w:tblCellMar>
            <w:top w:w="0" w:type="dxa"/>
            <w:left w:w="108" w:type="dxa"/>
            <w:bottom w:w="0" w:type="dxa"/>
            <w:right w:w="108" w:type="dxa"/>
          </w:tblCellMar>
        </w:tblPrEx>
        <w:trPr>
          <w:trHeight w:val="4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56443">
            <w:pPr>
              <w:spacing w:line="440" w:lineRule="exact"/>
              <w:jc w:val="center"/>
              <w:rPr>
                <w:rFonts w:ascii="宋体" w:hAnsi="宋体" w:cs="宋体"/>
                <w:color w:val="000000"/>
                <w:sz w:val="24"/>
              </w:rPr>
            </w:pPr>
            <w:r>
              <w:rPr>
                <w:rFonts w:hint="eastAsia" w:ascii="宋体" w:hAnsi="宋体" w:cs="宋体"/>
                <w:color w:val="000000"/>
                <w:kern w:val="0"/>
                <w:sz w:val="24"/>
                <w:lang w:eastAsia="zh-CN" w:bidi="ar"/>
              </w:rPr>
              <w:t>福州市中医院</w:t>
            </w:r>
          </w:p>
        </w:tc>
      </w:tr>
      <w:tr w14:paraId="4D39E3A3">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7F24E">
            <w:pPr>
              <w:widowControl/>
              <w:spacing w:line="44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02985">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水质在线监测设备</w:t>
            </w: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888A">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在线PH仪</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EC980">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14:paraId="7CE5ED97">
        <w:tblPrEx>
          <w:tblCellMar>
            <w:top w:w="0" w:type="dxa"/>
            <w:left w:w="108" w:type="dxa"/>
            <w:bottom w:w="0" w:type="dxa"/>
            <w:right w:w="108" w:type="dxa"/>
          </w:tblCellMar>
        </w:tblPrEx>
        <w:trPr>
          <w:trHeight w:val="628"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F906C">
            <w:pPr>
              <w:spacing w:line="440" w:lineRule="exact"/>
              <w:jc w:val="center"/>
              <w:rPr>
                <w:rFonts w:ascii="宋体" w:hAnsi="宋体" w:cs="宋体"/>
                <w:color w:val="000000"/>
                <w:sz w:val="24"/>
              </w:rPr>
            </w:pPr>
            <w:r>
              <w:rPr>
                <w:rFonts w:hint="eastAsia" w:ascii="宋体" w:hAnsi="宋体" w:cs="宋体"/>
                <w:color w:val="000000"/>
                <w:sz w:val="24"/>
              </w:rPr>
              <w:t>2</w:t>
            </w: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2906">
            <w:pPr>
              <w:spacing w:line="440" w:lineRule="exact"/>
              <w:jc w:val="center"/>
              <w:rPr>
                <w:rFonts w:ascii="宋体" w:hAnsi="宋体" w:cs="宋体"/>
                <w:color w:val="000000"/>
                <w:sz w:val="24"/>
              </w:rPr>
            </w:pP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5086">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超声波明渠流量计</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8141">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14:paraId="42CF7A56">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9818">
            <w:pPr>
              <w:spacing w:line="440" w:lineRule="exact"/>
              <w:jc w:val="center"/>
              <w:rPr>
                <w:rFonts w:ascii="宋体" w:hAnsi="宋体" w:cs="宋体"/>
                <w:color w:val="000000"/>
                <w:sz w:val="24"/>
              </w:rPr>
            </w:pPr>
            <w:r>
              <w:rPr>
                <w:rFonts w:hint="eastAsia" w:ascii="宋体" w:hAnsi="宋体" w:cs="宋体"/>
                <w:color w:val="000000"/>
                <w:sz w:val="24"/>
              </w:rPr>
              <w:t>3</w:t>
            </w: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0621B">
            <w:pPr>
              <w:spacing w:line="440" w:lineRule="exact"/>
              <w:jc w:val="center"/>
              <w:rPr>
                <w:rFonts w:ascii="宋体" w:hAnsi="宋体" w:cs="宋体"/>
                <w:color w:val="000000"/>
                <w:sz w:val="24"/>
              </w:rPr>
            </w:pP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15FD">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数采仪</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D74B">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14:paraId="443FBD88">
        <w:tblPrEx>
          <w:tblCellMar>
            <w:top w:w="0" w:type="dxa"/>
            <w:left w:w="108" w:type="dxa"/>
            <w:bottom w:w="0" w:type="dxa"/>
            <w:right w:w="108" w:type="dxa"/>
          </w:tblCellMar>
        </w:tblPrEx>
        <w:trPr>
          <w:trHeight w:val="4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84F621">
            <w:pPr>
              <w:spacing w:line="440" w:lineRule="exact"/>
              <w:jc w:val="center"/>
              <w:rPr>
                <w:rFonts w:ascii="宋体" w:hAnsi="宋体" w:cs="宋体"/>
                <w:color w:val="000000"/>
                <w:sz w:val="24"/>
              </w:rPr>
            </w:pPr>
            <w:r>
              <w:rPr>
                <w:rFonts w:hint="eastAsia" w:ascii="宋体" w:hAnsi="宋体" w:cs="宋体"/>
                <w:color w:val="000000"/>
                <w:kern w:val="0"/>
                <w:sz w:val="24"/>
                <w:lang w:eastAsia="zh-CN" w:bidi="ar"/>
              </w:rPr>
              <w:t>福州市中医院五四北</w:t>
            </w:r>
            <w:r>
              <w:rPr>
                <w:rFonts w:hint="eastAsia" w:ascii="宋体" w:hAnsi="宋体" w:cs="宋体"/>
                <w:color w:val="000000"/>
                <w:kern w:val="0"/>
                <w:sz w:val="24"/>
                <w:lang w:bidi="ar"/>
              </w:rPr>
              <w:t>院区</w:t>
            </w:r>
          </w:p>
        </w:tc>
      </w:tr>
      <w:tr w14:paraId="7251CA0F">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1684">
            <w:pPr>
              <w:widowControl/>
              <w:spacing w:line="44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C68D7">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水质在线监测设备</w:t>
            </w: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C682D">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COD在线分析仪</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C5A36">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14:paraId="492DAA0B">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C07B">
            <w:pPr>
              <w:spacing w:line="440" w:lineRule="exact"/>
              <w:jc w:val="center"/>
              <w:rPr>
                <w:rFonts w:ascii="宋体" w:hAnsi="宋体" w:cs="宋体"/>
                <w:color w:val="000000"/>
                <w:sz w:val="24"/>
              </w:rPr>
            </w:pPr>
            <w:r>
              <w:rPr>
                <w:rFonts w:hint="eastAsia" w:ascii="宋体" w:hAnsi="宋体" w:cs="宋体"/>
                <w:color w:val="000000"/>
                <w:sz w:val="24"/>
              </w:rPr>
              <w:t>5</w:t>
            </w: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D0F62">
            <w:pPr>
              <w:spacing w:line="440" w:lineRule="exact"/>
              <w:jc w:val="center"/>
              <w:rPr>
                <w:rFonts w:ascii="宋体" w:hAnsi="宋体" w:cs="宋体"/>
                <w:color w:val="000000"/>
                <w:sz w:val="24"/>
              </w:rPr>
            </w:pP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56B7">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氨氮在线分析仪</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7E14D">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14:paraId="68E89D03">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165A">
            <w:pPr>
              <w:spacing w:line="440" w:lineRule="exact"/>
              <w:jc w:val="center"/>
              <w:rPr>
                <w:rFonts w:ascii="宋体" w:hAnsi="宋体" w:cs="宋体"/>
                <w:color w:val="000000"/>
                <w:sz w:val="24"/>
              </w:rPr>
            </w:pPr>
            <w:r>
              <w:rPr>
                <w:rFonts w:hint="eastAsia" w:ascii="宋体" w:hAnsi="宋体" w:cs="宋体"/>
                <w:color w:val="000000"/>
                <w:sz w:val="24"/>
              </w:rPr>
              <w:t>6</w:t>
            </w: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E9F48">
            <w:pPr>
              <w:spacing w:line="440" w:lineRule="exact"/>
              <w:jc w:val="center"/>
              <w:rPr>
                <w:rFonts w:ascii="宋体" w:hAnsi="宋体" w:cs="宋体"/>
                <w:color w:val="000000"/>
                <w:sz w:val="24"/>
              </w:rPr>
            </w:pP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3AF2">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在线PH仪</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CAD1">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14:paraId="47E24855">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4629">
            <w:pPr>
              <w:spacing w:line="440" w:lineRule="exact"/>
              <w:jc w:val="center"/>
              <w:rPr>
                <w:rFonts w:ascii="宋体" w:hAnsi="宋体" w:cs="宋体"/>
                <w:color w:val="000000"/>
                <w:sz w:val="24"/>
              </w:rPr>
            </w:pPr>
            <w:r>
              <w:rPr>
                <w:rFonts w:hint="eastAsia" w:ascii="宋体" w:hAnsi="宋体" w:cs="宋体"/>
                <w:color w:val="000000"/>
                <w:sz w:val="24"/>
              </w:rPr>
              <w:t>7</w:t>
            </w: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242E7">
            <w:pPr>
              <w:spacing w:line="440" w:lineRule="exact"/>
              <w:jc w:val="center"/>
              <w:rPr>
                <w:rFonts w:ascii="宋体" w:hAnsi="宋体" w:cs="宋体"/>
                <w:color w:val="000000"/>
                <w:sz w:val="24"/>
              </w:rPr>
            </w:pP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BD0F">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超声波明渠流量计</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B2C04">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14:paraId="27E723B7">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DE30E">
            <w:pPr>
              <w:spacing w:line="440" w:lineRule="exact"/>
              <w:jc w:val="center"/>
              <w:rPr>
                <w:rFonts w:ascii="宋体" w:hAnsi="宋体" w:cs="宋体"/>
                <w:color w:val="000000"/>
                <w:sz w:val="24"/>
              </w:rPr>
            </w:pPr>
            <w:r>
              <w:rPr>
                <w:rFonts w:hint="eastAsia" w:ascii="宋体" w:hAnsi="宋体" w:cs="宋体"/>
                <w:color w:val="000000"/>
                <w:sz w:val="24"/>
              </w:rPr>
              <w:t>8</w:t>
            </w: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26E3E">
            <w:pPr>
              <w:spacing w:line="440" w:lineRule="exact"/>
              <w:jc w:val="center"/>
              <w:rPr>
                <w:rFonts w:ascii="宋体" w:hAnsi="宋体" w:cs="宋体"/>
                <w:color w:val="000000"/>
                <w:sz w:val="24"/>
              </w:rPr>
            </w:pP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28FB">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数采仪</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8961">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bl>
    <w:p w14:paraId="05EEC3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40E93"/>
    <w:multiLevelType w:val="multilevel"/>
    <w:tmpl w:val="57C40E93"/>
    <w:lvl w:ilvl="0" w:tentative="0">
      <w:start w:val="1"/>
      <w:numFmt w:val="chineseCountingThousand"/>
      <w:pStyle w:val="6"/>
      <w:suff w:val="nothing"/>
      <w:lvlText w:val="第%1部分"/>
      <w:lvlJc w:val="left"/>
      <w:rPr>
        <w:rFonts w:hint="eastAsia" w:ascii="黑体" w:eastAsia="黑体" w:cs="Times New Roman"/>
        <w:sz w:val="32"/>
      </w:rPr>
    </w:lvl>
    <w:lvl w:ilvl="1" w:tentative="0">
      <w:start w:val="1"/>
      <w:numFmt w:val="upperLetter"/>
      <w:suff w:val="nothing"/>
      <w:lvlText w:val="%2"/>
      <w:lvlJc w:val="left"/>
      <w:rPr>
        <w:rFonts w:hint="eastAsia" w:ascii="CG Times" w:hAnsi="CG Times" w:cs="Times New Roman"/>
        <w:b/>
        <w:i w:val="0"/>
        <w:sz w:val="28"/>
      </w:rPr>
    </w:lvl>
    <w:lvl w:ilvl="2" w:tentative="0">
      <w:start w:val="1"/>
      <w:numFmt w:val="decimal"/>
      <w:lvlRestart w:val="0"/>
      <w:suff w:val="nothing"/>
      <w:lvlText w:val="%3"/>
      <w:lvlJc w:val="left"/>
      <w:rPr>
        <w:rFonts w:hint="eastAsia" w:ascii="宋体" w:eastAsia="宋体" w:cs="Times New Roman"/>
        <w:b/>
        <w:i w:val="0"/>
        <w:sz w:val="28"/>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NmUyMmI5YjA5YTA2YWE3MmFjMDVkNjVlYTdhNjMifQ=="/>
  </w:docVars>
  <w:rsids>
    <w:rsidRoot w:val="00000000"/>
    <w:rsid w:val="487A0A8E"/>
    <w:rsid w:val="529E2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9"/>
    <w:pPr>
      <w:keepNext/>
      <w:keepLines/>
      <w:numPr>
        <w:ilvl w:val="0"/>
        <w:numId w:val="1"/>
      </w:numPr>
      <w:spacing w:beforeLines="100" w:afterLines="50" w:line="360" w:lineRule="auto"/>
      <w:jc w:val="center"/>
      <w:outlineLvl w:val="0"/>
    </w:pPr>
    <w:rPr>
      <w:rFonts w:ascii="???" w:hAnsi="???"/>
      <w:b/>
      <w:bCs/>
      <w:color w:val="000000"/>
      <w:kern w:val="36"/>
      <w:sz w:val="30"/>
      <w:szCs w:val="60"/>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style>
  <w:style w:type="paragraph" w:styleId="3">
    <w:name w:val="Body Text"/>
    <w:basedOn w:val="1"/>
    <w:next w:val="1"/>
    <w:qFormat/>
    <w:uiPriority w:val="99"/>
    <w:pPr>
      <w:spacing w:line="380" w:lineRule="exact"/>
    </w:pPr>
    <w:rPr>
      <w:sz w:val="24"/>
      <w:szCs w:val="20"/>
    </w:r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ind w:left="420" w:leftChars="200"/>
    </w:pPr>
  </w:style>
  <w:style w:type="paragraph" w:styleId="7">
    <w:name w:val="Normal (Web)"/>
    <w:basedOn w:val="1"/>
    <w:qFormat/>
    <w:uiPriority w:val="99"/>
    <w:pPr>
      <w:widowControl/>
      <w:jc w:val="left"/>
    </w:pPr>
    <w:rPr>
      <w:rFonts w:ascii="宋体" w:hAnsi="宋体" w:cs="宋体"/>
      <w:kern w:val="0"/>
      <w:sz w:val="24"/>
    </w:rPr>
  </w:style>
  <w:style w:type="character" w:styleId="10">
    <w:name w:val="Strong"/>
    <w:basedOn w:val="9"/>
    <w:qFormat/>
    <w:uiPriority w:val="0"/>
    <w:rPr>
      <w:b/>
      <w:bCs/>
    </w:rPr>
  </w:style>
  <w:style w:type="paragraph" w:customStyle="1" w:styleId="11">
    <w:name w:val="null3"/>
    <w:autoRedefine/>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5240</Words>
  <Characters>5589</Characters>
  <Lines>0</Lines>
  <Paragraphs>0</Paragraphs>
  <TotalTime>1</TotalTime>
  <ScaleCrop>false</ScaleCrop>
  <LinksUpToDate>false</LinksUpToDate>
  <CharactersWithSpaces>5604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2024-05-23T01:10:00Z</dcterms:created>
  <dc:creator>Administrator</dc:creator>
  <cp:lastModifiedBy>盼，髀肉横生</cp:lastModifiedBy>
  <cp:lastPrinted>2024-05-23T01:10:00Z</cp:lastPrinted>
  <dcterms:modified xsi:type="dcterms:W3CDTF">2024-07-25T09:49:17Z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8C86BC19542C4AB8B9372378CDB594C9_12</vt:lpwstr>
  </property>
</Properties>
</file>